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369" w:rsidRPr="006979E5" w:rsidRDefault="00AC3369" w:rsidP="00AC3369">
      <w:pPr>
        <w:pStyle w:val="Kop1"/>
      </w:pPr>
      <w:bookmarkStart w:id="0" w:name="_Toc488223501"/>
      <w:bookmarkStart w:id="1" w:name="_Toc5268570"/>
      <w:bookmarkStart w:id="2" w:name="_GoBack"/>
      <w:bookmarkEnd w:id="2"/>
      <w:r w:rsidRPr="006979E5">
        <w:t>Technische bepalingen</w:t>
      </w:r>
      <w:bookmarkEnd w:id="0"/>
      <w:bookmarkEnd w:id="1"/>
    </w:p>
    <w:p w:rsidR="00AC3369" w:rsidRDefault="00AC3369" w:rsidP="00AC3369">
      <w:pPr>
        <w:rPr>
          <w:lang w:val="nl-BE"/>
        </w:rPr>
      </w:pPr>
    </w:p>
    <w:p w:rsidR="00AC3369" w:rsidRPr="00284D72" w:rsidRDefault="00AC3369" w:rsidP="00AC3369">
      <w:pPr>
        <w:rPr>
          <w:b/>
          <w:sz w:val="22"/>
          <w:szCs w:val="22"/>
          <w:u w:val="single"/>
          <w:lang w:val="nl-BE"/>
        </w:rPr>
      </w:pPr>
      <w:r w:rsidRPr="00284D72">
        <w:rPr>
          <w:b/>
          <w:sz w:val="22"/>
          <w:szCs w:val="22"/>
          <w:u w:val="single"/>
          <w:lang w:val="nl-BE"/>
        </w:rPr>
        <w:t>Algemene omschrijving</w:t>
      </w:r>
    </w:p>
    <w:p w:rsidR="00AC3369" w:rsidRDefault="00AC3369" w:rsidP="00AC3369">
      <w:pPr>
        <w:rPr>
          <w:lang w:val="nl-BE"/>
        </w:rPr>
      </w:pPr>
    </w:p>
    <w:p w:rsidR="00AC3369" w:rsidRPr="00B123A6" w:rsidRDefault="00AC3369" w:rsidP="00AC3369">
      <w:pPr>
        <w:rPr>
          <w:lang w:val="nl-BE"/>
        </w:rPr>
      </w:pPr>
      <w:r w:rsidRPr="00B123A6">
        <w:rPr>
          <w:lang w:val="nl-BE"/>
        </w:rPr>
        <w:t xml:space="preserve">De opdracht “GENK ON STAGE 2019 – Design </w:t>
      </w:r>
      <w:proofErr w:type="spellStart"/>
      <w:r w:rsidRPr="00B123A6">
        <w:rPr>
          <w:lang w:val="nl-BE"/>
        </w:rPr>
        <w:t>and</w:t>
      </w:r>
      <w:proofErr w:type="spellEnd"/>
      <w:r w:rsidRPr="00B123A6">
        <w:rPr>
          <w:lang w:val="nl-BE"/>
        </w:rPr>
        <w:t xml:space="preserve"> </w:t>
      </w:r>
      <w:proofErr w:type="spellStart"/>
      <w:r w:rsidRPr="00B123A6">
        <w:rPr>
          <w:lang w:val="nl-BE"/>
        </w:rPr>
        <w:t>build</w:t>
      </w:r>
      <w:proofErr w:type="spellEnd"/>
      <w:r w:rsidRPr="00B123A6">
        <w:rPr>
          <w:lang w:val="nl-BE"/>
        </w:rPr>
        <w:t xml:space="preserve"> opdracht: Stellingbouw” omvat 3 percelen, namelijk: </w:t>
      </w:r>
    </w:p>
    <w:p w:rsidR="00AC3369" w:rsidRPr="00B123A6" w:rsidRDefault="006F5692" w:rsidP="00AC3369">
      <w:pPr>
        <w:pStyle w:val="Inhopg2"/>
        <w:tabs>
          <w:tab w:val="right" w:leader="dot" w:pos="9060"/>
        </w:tabs>
        <w:rPr>
          <w:rFonts w:ascii="Calibri" w:hAnsi="Calibri"/>
          <w:noProof/>
          <w:sz w:val="22"/>
        </w:rPr>
      </w:pPr>
      <w:hyperlink w:anchor="_Toc256000024" w:history="1">
        <w:r w:rsidR="00AC3369" w:rsidRPr="00B123A6">
          <w:rPr>
            <w:rStyle w:val="Hyperlink"/>
            <w:rFonts w:ascii="Tahoma" w:hAnsi="Tahoma"/>
            <w:color w:val="auto"/>
            <w:lang w:val="en-GB"/>
          </w:rPr>
          <w:t>III.1</w:t>
        </w:r>
        <w:r w:rsidR="00AC3369" w:rsidRPr="00B123A6">
          <w:rPr>
            <w:rStyle w:val="Hyperlink"/>
            <w:color w:val="auto"/>
          </w:rPr>
          <w:t xml:space="preserve"> PERCEEL 1 – Evenementenpark Cosmogolem</w:t>
        </w:r>
      </w:hyperlink>
    </w:p>
    <w:p w:rsidR="00AC3369" w:rsidRPr="00B123A6" w:rsidRDefault="006F5692" w:rsidP="00AC3369">
      <w:pPr>
        <w:pStyle w:val="Inhopg2"/>
        <w:tabs>
          <w:tab w:val="right" w:leader="dot" w:pos="9060"/>
        </w:tabs>
        <w:rPr>
          <w:rFonts w:ascii="Calibri" w:hAnsi="Calibri"/>
          <w:noProof/>
          <w:sz w:val="22"/>
        </w:rPr>
      </w:pPr>
      <w:hyperlink w:anchor="_Toc256000025" w:history="1">
        <w:r w:rsidR="00AC3369" w:rsidRPr="00B123A6">
          <w:rPr>
            <w:rStyle w:val="Hyperlink"/>
            <w:rFonts w:ascii="Tahoma" w:hAnsi="Tahoma"/>
            <w:color w:val="auto"/>
            <w:lang w:val="en-GB"/>
          </w:rPr>
          <w:t>III.2</w:t>
        </w:r>
        <w:r w:rsidR="00AC3369" w:rsidRPr="00B123A6">
          <w:rPr>
            <w:rStyle w:val="Hyperlink"/>
            <w:color w:val="auto"/>
          </w:rPr>
          <w:t xml:space="preserve"> PERCEEL 2 - Fruitmarkt</w:t>
        </w:r>
      </w:hyperlink>
    </w:p>
    <w:p w:rsidR="00AC3369" w:rsidRPr="00B123A6" w:rsidRDefault="00AC3369" w:rsidP="00AC3369">
      <w:pPr>
        <w:pStyle w:val="Inhopg2"/>
        <w:tabs>
          <w:tab w:val="right" w:leader="dot" w:pos="9060"/>
        </w:tabs>
        <w:rPr>
          <w:rFonts w:ascii="Calibri" w:hAnsi="Calibri"/>
          <w:noProof/>
          <w:sz w:val="22"/>
        </w:rPr>
      </w:pPr>
      <w:r w:rsidRPr="00B123A6">
        <w:rPr>
          <w:rStyle w:val="Hyperlink"/>
          <w:rFonts w:ascii="Tahoma" w:hAnsi="Tahoma"/>
          <w:color w:val="auto"/>
          <w:lang w:val="en-GB"/>
        </w:rPr>
        <w:t>III.3</w:t>
      </w:r>
      <w:r w:rsidRPr="00B123A6">
        <w:rPr>
          <w:rStyle w:val="Hyperlink"/>
          <w:color w:val="auto"/>
        </w:rPr>
        <w:t xml:space="preserve"> PERCEEL 3 – Tijdelijke infrastructuur op basis van stellingbouw </w:t>
      </w:r>
    </w:p>
    <w:p w:rsidR="00AC3369" w:rsidRPr="00B123A6" w:rsidRDefault="00AC3369" w:rsidP="00AC3369">
      <w:pPr>
        <w:rPr>
          <w:lang w:val="nl-BE"/>
        </w:rPr>
      </w:pPr>
    </w:p>
    <w:p w:rsidR="00AC3369" w:rsidRPr="00B123A6" w:rsidRDefault="00AC3369" w:rsidP="00AC3369">
      <w:pPr>
        <w:rPr>
          <w:lang w:val="nl-BE"/>
        </w:rPr>
      </w:pPr>
      <w:r w:rsidRPr="00B123A6">
        <w:rPr>
          <w:lang w:val="nl-BE"/>
        </w:rPr>
        <w:t xml:space="preserve">Genk on stage is een gratis stadsfestival van 28 tot en met 30 juni 2019 met negen live podia en ca 100.000 bezoekers. </w:t>
      </w:r>
    </w:p>
    <w:p w:rsidR="00AC3369" w:rsidRPr="00B123A6" w:rsidRDefault="00AC3369" w:rsidP="00AC3369">
      <w:pPr>
        <w:rPr>
          <w:rFonts w:cs="Arial"/>
          <w:bCs/>
          <w:szCs w:val="21"/>
          <w:vertAlign w:val="subscript"/>
        </w:rPr>
      </w:pPr>
      <w:r w:rsidRPr="00B123A6">
        <w:rPr>
          <w:lang w:val="nl-BE"/>
        </w:rPr>
        <w:t>Vanaf 2019 wenst de organisatie het ‘ON STAGE – gevoel ook door te trekken naar het publiek. Hiervoor wenst Genk on stage door de realisatie van belevingsvolle tijdelijke stellingbouw  ook het publiek een podiumervaring te geven. 2019 is hiervoor een overgangsjaar, Evenementenpark Cosmogolem en de Fruitmarkt zijn de twee locaties waarop de organisatie dit wenst te testen.</w:t>
      </w:r>
    </w:p>
    <w:p w:rsidR="00AC3369" w:rsidRPr="00B123A6" w:rsidRDefault="00AC3369" w:rsidP="00AC3369">
      <w:pPr>
        <w:rPr>
          <w:szCs w:val="21"/>
          <w:lang w:val="nl-BE"/>
        </w:rPr>
      </w:pPr>
    </w:p>
    <w:p w:rsidR="00AC3369" w:rsidRPr="00B123A6" w:rsidRDefault="00AC3369" w:rsidP="00AC3369">
      <w:pPr>
        <w:rPr>
          <w:lang w:val="nl-BE"/>
        </w:rPr>
      </w:pPr>
      <w:r w:rsidRPr="00B123A6">
        <w:rPr>
          <w:lang w:val="nl-BE"/>
        </w:rPr>
        <w:t xml:space="preserve">De opgave van materialen zijn </w:t>
      </w:r>
      <w:r w:rsidRPr="00B123A6">
        <w:rPr>
          <w:b/>
          <w:lang w:val="nl-BE"/>
        </w:rPr>
        <w:t>indicatief</w:t>
      </w:r>
      <w:r w:rsidRPr="00B123A6">
        <w:rPr>
          <w:lang w:val="nl-BE"/>
        </w:rPr>
        <w:t>. De inschrijver kan zich hierop baseren maar kan ook een alternatief voorstellen dat rekening houdt met de inhoudelijke parameters zoals deze per perceel beschreven zijn.</w:t>
      </w:r>
    </w:p>
    <w:p w:rsidR="00AC3369" w:rsidRPr="00B123A6" w:rsidRDefault="00AC3369" w:rsidP="00AC3369">
      <w:pPr>
        <w:rPr>
          <w:lang w:val="nl-BE"/>
        </w:rPr>
      </w:pPr>
      <w:r w:rsidRPr="00B123A6">
        <w:rPr>
          <w:lang w:val="nl-BE"/>
        </w:rPr>
        <w:t xml:space="preserve">De opdracht kan per perceel of als pakket toegewezen worden. </w:t>
      </w:r>
    </w:p>
    <w:p w:rsidR="00AC3369" w:rsidRPr="00B123A6" w:rsidRDefault="00AC3369" w:rsidP="00AC3369">
      <w:pPr>
        <w:rPr>
          <w:lang w:val="nl-BE"/>
        </w:rPr>
      </w:pPr>
      <w:r w:rsidRPr="00B123A6">
        <w:rPr>
          <w:lang w:val="nl-BE"/>
        </w:rPr>
        <w:t xml:space="preserve">Aan de inschrijvers wordt gevraagd referenties toe te voegen aan de offerte. </w:t>
      </w:r>
    </w:p>
    <w:p w:rsidR="00AC3369" w:rsidRPr="006979E5" w:rsidRDefault="00AC3369" w:rsidP="00AC3369">
      <w:pPr>
        <w:rPr>
          <w:i/>
          <w:lang w:val="nl-BE"/>
        </w:rPr>
      </w:pPr>
    </w:p>
    <w:p w:rsidR="00AC3369" w:rsidRPr="006979E5" w:rsidRDefault="00AC3369" w:rsidP="00AC3369">
      <w:pPr>
        <w:pStyle w:val="Kop2"/>
      </w:pPr>
      <w:bookmarkStart w:id="3" w:name="_Toc5268571"/>
      <w:r w:rsidRPr="006979E5">
        <w:t>Perceel 1: Evenementenpark Cosmogolem</w:t>
      </w:r>
      <w:bookmarkEnd w:id="3"/>
    </w:p>
    <w:p w:rsidR="00AC3369" w:rsidRPr="006979E5" w:rsidRDefault="00AC3369" w:rsidP="00AC3369">
      <w:pPr>
        <w:keepNext/>
        <w:rPr>
          <w:lang w:val="nl-BE"/>
        </w:rPr>
      </w:pPr>
    </w:p>
    <w:p w:rsidR="00AC3369" w:rsidRPr="00B123A6" w:rsidRDefault="00AC3369" w:rsidP="00AC3369">
      <w:pPr>
        <w:autoSpaceDE w:val="0"/>
        <w:autoSpaceDN w:val="0"/>
        <w:adjustRightInd w:val="0"/>
        <w:rPr>
          <w:rFonts w:cs="Arial"/>
          <w:bCs/>
          <w:szCs w:val="21"/>
          <w:lang w:val="nl-NL" w:eastAsia="nl-NL"/>
        </w:rPr>
      </w:pPr>
      <w:r w:rsidRPr="00B123A6">
        <w:rPr>
          <w:rFonts w:cs="Arial"/>
          <w:bCs/>
          <w:szCs w:val="21"/>
          <w:lang w:val="nl-NL" w:eastAsia="nl-NL"/>
        </w:rPr>
        <w:t>Op het Evenementenpark Cosmogolem organiseert de dienst Jeugd van de stad Genk de verschillende Factor J – podia. Voor het tweede Factor J – podium wenst de organisatie een arena constructie te realiseren zoals hieronder beschreven.</w:t>
      </w:r>
    </w:p>
    <w:p w:rsidR="00AC3369" w:rsidRPr="00B123A6" w:rsidRDefault="00AC3369" w:rsidP="00AC3369">
      <w:pPr>
        <w:autoSpaceDE w:val="0"/>
        <w:autoSpaceDN w:val="0"/>
        <w:adjustRightInd w:val="0"/>
        <w:rPr>
          <w:rFonts w:cs="Arial"/>
          <w:bCs/>
          <w:szCs w:val="21"/>
          <w:lang w:val="nl-NL" w:eastAsia="nl-NL"/>
        </w:rPr>
      </w:pPr>
      <w:r w:rsidRPr="00B123A6">
        <w:rPr>
          <w:rFonts w:cs="Arial"/>
          <w:bCs/>
          <w:szCs w:val="21"/>
          <w:lang w:val="nl-NL" w:eastAsia="nl-NL"/>
        </w:rPr>
        <w:t>Beschrijving van het perceel:</w:t>
      </w:r>
    </w:p>
    <w:p w:rsidR="00AC3369" w:rsidRPr="00B123A6" w:rsidRDefault="00AC3369" w:rsidP="00AC3369">
      <w:pPr>
        <w:autoSpaceDE w:val="0"/>
        <w:autoSpaceDN w:val="0"/>
        <w:adjustRightInd w:val="0"/>
        <w:rPr>
          <w:rFonts w:cs="Arial"/>
          <w:b/>
          <w:bCs/>
          <w:szCs w:val="21"/>
          <w:lang w:val="nl-NL" w:eastAsia="nl-NL"/>
        </w:rPr>
      </w:pPr>
    </w:p>
    <w:p w:rsidR="00AC3369" w:rsidRPr="00B123A6" w:rsidRDefault="00AC3369" w:rsidP="00AC3369">
      <w:pPr>
        <w:numPr>
          <w:ilvl w:val="0"/>
          <w:numId w:val="2"/>
        </w:numPr>
        <w:autoSpaceDE w:val="0"/>
        <w:autoSpaceDN w:val="0"/>
        <w:adjustRightInd w:val="0"/>
        <w:rPr>
          <w:rFonts w:cs="Tahoma"/>
          <w:b/>
          <w:bCs/>
          <w:szCs w:val="21"/>
          <w:lang w:val="nl-BE" w:eastAsia="nl-BE"/>
        </w:rPr>
      </w:pPr>
      <w:r w:rsidRPr="00B123A6">
        <w:rPr>
          <w:rFonts w:cs="Tahoma"/>
          <w:b/>
          <w:bCs/>
          <w:szCs w:val="21"/>
          <w:lang w:val="nl-BE" w:eastAsia="nl-BE"/>
        </w:rPr>
        <w:t>ARENA – steigerconstructie</w:t>
      </w:r>
    </w:p>
    <w:p w:rsidR="00AC3369" w:rsidRPr="00B123A6" w:rsidRDefault="00AC3369" w:rsidP="00AC3369">
      <w:pPr>
        <w:autoSpaceDE w:val="0"/>
        <w:autoSpaceDN w:val="0"/>
        <w:adjustRightInd w:val="0"/>
        <w:rPr>
          <w:rFonts w:cs="Tahoma"/>
          <w:bCs/>
          <w:szCs w:val="21"/>
          <w:lang w:val="nl-BE" w:eastAsia="nl-BE"/>
        </w:rPr>
      </w:pPr>
      <w:r w:rsidRPr="00B123A6">
        <w:rPr>
          <w:rFonts w:cs="Tahoma"/>
          <w:bCs/>
          <w:szCs w:val="21"/>
          <w:lang w:val="nl-BE" w:eastAsia="nl-BE"/>
        </w:rPr>
        <w:t xml:space="preserve"> </w:t>
      </w:r>
    </w:p>
    <w:p w:rsidR="00AC3369" w:rsidRPr="00B123A6" w:rsidRDefault="00AC3369" w:rsidP="00AC3369">
      <w:pPr>
        <w:autoSpaceDE w:val="0"/>
        <w:autoSpaceDN w:val="0"/>
        <w:adjustRightInd w:val="0"/>
        <w:rPr>
          <w:rFonts w:cs="Tahoma"/>
          <w:bCs/>
          <w:szCs w:val="21"/>
          <w:lang w:val="nl-BE" w:eastAsia="nl-BE"/>
        </w:rPr>
      </w:pPr>
      <w:r w:rsidRPr="00B123A6">
        <w:rPr>
          <w:rFonts w:cs="Tahoma"/>
          <w:bCs/>
          <w:szCs w:val="21"/>
          <w:lang w:val="nl-BE" w:eastAsia="nl-BE"/>
        </w:rPr>
        <w:t xml:space="preserve">Voor één van de deelpodia op Evenementenpark Cosmogolem wensen we een sfeervolle zone te creëren waarbij een afbakening wordt gemaakt met behulp van een arena-opstelling uit steigerstelling. </w:t>
      </w:r>
    </w:p>
    <w:p w:rsidR="00AC3369" w:rsidRPr="00B123A6" w:rsidRDefault="00AC3369" w:rsidP="00AC3369">
      <w:pPr>
        <w:autoSpaceDE w:val="0"/>
        <w:autoSpaceDN w:val="0"/>
        <w:adjustRightInd w:val="0"/>
        <w:rPr>
          <w:rFonts w:cs="Tahoma"/>
          <w:bCs/>
          <w:szCs w:val="21"/>
          <w:lang w:val="nl-BE" w:eastAsia="nl-BE"/>
        </w:rPr>
      </w:pPr>
      <w:r w:rsidRPr="00B123A6">
        <w:rPr>
          <w:rFonts w:cs="Tahoma"/>
          <w:bCs/>
          <w:szCs w:val="21"/>
          <w:lang w:val="nl-BE" w:eastAsia="nl-BE"/>
        </w:rPr>
        <w:t xml:space="preserve">Het binnenplein van de arena heeft een oppervlakte van om en bij de 500m². </w:t>
      </w:r>
    </w:p>
    <w:p w:rsidR="00AC3369" w:rsidRPr="00B123A6" w:rsidRDefault="00AC3369" w:rsidP="00AC3369">
      <w:pPr>
        <w:autoSpaceDE w:val="0"/>
        <w:autoSpaceDN w:val="0"/>
        <w:adjustRightInd w:val="0"/>
        <w:rPr>
          <w:rFonts w:cs="Tahoma"/>
          <w:bCs/>
          <w:szCs w:val="21"/>
          <w:lang w:val="nl-BE" w:eastAsia="nl-BE"/>
        </w:rPr>
      </w:pPr>
      <w:r w:rsidRPr="00B123A6">
        <w:rPr>
          <w:rFonts w:cs="Tahoma"/>
          <w:bCs/>
          <w:szCs w:val="21"/>
          <w:lang w:val="nl-BE" w:eastAsia="nl-BE"/>
        </w:rPr>
        <w:t>Er worden twee constructies voorzien die symmetrisch tegenover elkaar worden geplaatst. Bezoekers kunnen zowel links als rechts de zone betreden. Vrije doorgang telkens 6m:</w:t>
      </w:r>
    </w:p>
    <w:p w:rsidR="00AC3369" w:rsidRPr="00B123A6" w:rsidRDefault="00AC3369" w:rsidP="00AC3369">
      <w:pPr>
        <w:numPr>
          <w:ilvl w:val="0"/>
          <w:numId w:val="2"/>
        </w:numPr>
        <w:autoSpaceDE w:val="0"/>
        <w:autoSpaceDN w:val="0"/>
        <w:adjustRightInd w:val="0"/>
        <w:rPr>
          <w:rFonts w:cs="Tahoma"/>
          <w:bCs/>
          <w:szCs w:val="21"/>
          <w:lang w:val="nl-BE" w:eastAsia="nl-BE"/>
        </w:rPr>
      </w:pPr>
      <w:r w:rsidRPr="00B123A6">
        <w:rPr>
          <w:rFonts w:cs="Tahoma"/>
          <w:bCs/>
          <w:szCs w:val="21"/>
          <w:lang w:val="nl-BE" w:eastAsia="nl-BE"/>
        </w:rPr>
        <w:t>Constructie achteraan wordt voorzien van een boogconstructie (mag bv. 8-hoekig) van 46m lang en 2m diep, bestaande uit twee verdiepen:</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t>Beneden verdiep/gelijkvloers wordt voorzien van vloerplaten zodat hier gedanst kan worden;</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t xml:space="preserve">Centraal wordt onderin ook plaats voorzien voor F.O.H.; </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t>Bovenste verdiep met vloerhoogte van ongeveer 3m is volledig te bewandelen en is langs beide zijde voorzien van een trap met leuning;</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t xml:space="preserve">Bovenverdieping is voorzien van veilige balustrades. </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lastRenderedPageBreak/>
        <w:t xml:space="preserve">De achterzijde van het bovenverdieping wordt doorgebouwd tot ongeveer 2,5m zodat deze afgemaakt kan worden met doeken. Doeken worden door de organisatie voorzien. </w:t>
      </w:r>
    </w:p>
    <w:p w:rsidR="00AC3369" w:rsidRPr="00B123A6" w:rsidRDefault="00AC3369" w:rsidP="00AC3369">
      <w:pPr>
        <w:numPr>
          <w:ilvl w:val="0"/>
          <w:numId w:val="2"/>
        </w:numPr>
        <w:autoSpaceDE w:val="0"/>
        <w:autoSpaceDN w:val="0"/>
        <w:adjustRightInd w:val="0"/>
        <w:rPr>
          <w:rFonts w:cs="Tahoma"/>
          <w:bCs/>
          <w:szCs w:val="21"/>
          <w:lang w:val="nl-BE" w:eastAsia="nl-BE"/>
        </w:rPr>
      </w:pPr>
      <w:r w:rsidRPr="00B123A6">
        <w:rPr>
          <w:rFonts w:cs="Tahoma"/>
          <w:bCs/>
          <w:szCs w:val="21"/>
          <w:lang w:val="nl-BE" w:eastAsia="nl-BE"/>
        </w:rPr>
        <w:t xml:space="preserve">Constructie vooraan met geïntegreerd podium van 6X4m + </w:t>
      </w:r>
      <w:proofErr w:type="spellStart"/>
      <w:r w:rsidRPr="00B123A6">
        <w:rPr>
          <w:rFonts w:cs="Tahoma"/>
          <w:bCs/>
          <w:szCs w:val="21"/>
          <w:lang w:val="nl-BE" w:eastAsia="nl-BE"/>
        </w:rPr>
        <w:t>sidewings</w:t>
      </w:r>
      <w:proofErr w:type="spellEnd"/>
      <w:r w:rsidRPr="00B123A6">
        <w:rPr>
          <w:rFonts w:cs="Tahoma"/>
          <w:bCs/>
          <w:szCs w:val="21"/>
          <w:lang w:val="nl-BE" w:eastAsia="nl-BE"/>
        </w:rPr>
        <w:t xml:space="preserve"> van telkens 2m:</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t>Vloerhoogte podium 1m.</w:t>
      </w:r>
    </w:p>
    <w:p w:rsidR="00AC3369" w:rsidRPr="00B123A6" w:rsidRDefault="00AC3369" w:rsidP="00AC3369">
      <w:pPr>
        <w:numPr>
          <w:ilvl w:val="1"/>
          <w:numId w:val="2"/>
        </w:numPr>
        <w:autoSpaceDE w:val="0"/>
        <w:autoSpaceDN w:val="0"/>
        <w:adjustRightInd w:val="0"/>
        <w:rPr>
          <w:rFonts w:cs="Tahoma"/>
          <w:bCs/>
          <w:szCs w:val="21"/>
          <w:lang w:val="nl-BE" w:eastAsia="nl-BE"/>
        </w:rPr>
      </w:pPr>
      <w:r w:rsidRPr="00B123A6">
        <w:rPr>
          <w:rFonts w:cs="Tahoma"/>
          <w:bCs/>
          <w:szCs w:val="21"/>
          <w:lang w:val="nl-BE" w:eastAsia="nl-BE"/>
        </w:rPr>
        <w:t xml:space="preserve">Links en rechts van </w:t>
      </w:r>
      <w:proofErr w:type="spellStart"/>
      <w:r w:rsidRPr="00B123A6">
        <w:rPr>
          <w:rFonts w:cs="Tahoma"/>
          <w:bCs/>
          <w:szCs w:val="21"/>
          <w:lang w:val="nl-BE" w:eastAsia="nl-BE"/>
        </w:rPr>
        <w:t>sidewings</w:t>
      </w:r>
      <w:proofErr w:type="spellEnd"/>
      <w:r w:rsidRPr="00B123A6">
        <w:rPr>
          <w:rFonts w:cs="Tahoma"/>
          <w:bCs/>
          <w:szCs w:val="21"/>
          <w:lang w:val="nl-BE" w:eastAsia="nl-BE"/>
        </w:rPr>
        <w:t xml:space="preserve"> loopt de constructie door  (ong. 18m aan beide zijde) om zo een meer ‘gesloten arena gevoel’ te creëren. Deze aanbouw wordt aan de voorzijde ingekleed met doeken door de organisatie en is dus niet toegankelijk voor publiek.</w:t>
      </w:r>
    </w:p>
    <w:p w:rsidR="00AC3369" w:rsidRPr="00B123A6" w:rsidRDefault="00AC3369" w:rsidP="00AC3369">
      <w:pPr>
        <w:autoSpaceDE w:val="0"/>
        <w:autoSpaceDN w:val="0"/>
        <w:adjustRightInd w:val="0"/>
        <w:rPr>
          <w:rFonts w:cs="Tahoma"/>
          <w:szCs w:val="21"/>
          <w:lang w:val="nl-BE" w:eastAsia="nl-BE"/>
        </w:rPr>
      </w:pPr>
    </w:p>
    <w:p w:rsidR="00AC3369" w:rsidRPr="00B123A6" w:rsidRDefault="00AC3369" w:rsidP="00AC3369">
      <w:pPr>
        <w:autoSpaceDE w:val="0"/>
        <w:autoSpaceDN w:val="0"/>
        <w:adjustRightInd w:val="0"/>
        <w:rPr>
          <w:rFonts w:cs="Tahoma"/>
          <w:szCs w:val="21"/>
          <w:lang w:val="nl-BE" w:eastAsia="nl-BE"/>
        </w:rPr>
      </w:pPr>
      <w:r w:rsidRPr="00B123A6">
        <w:rPr>
          <w:rFonts w:cs="Tahoma"/>
          <w:szCs w:val="21"/>
          <w:lang w:val="nl-BE" w:eastAsia="nl-BE"/>
        </w:rPr>
        <w:t xml:space="preserve">De inschrijver kan voor de doeken een alternatief als aankleding van de arena voorzien. Dit kan optioneel in de offerte vermeld worden (illustraties bij te voegen, </w:t>
      </w:r>
      <w:proofErr w:type="spellStart"/>
      <w:r w:rsidRPr="00B123A6">
        <w:rPr>
          <w:rFonts w:cs="Tahoma"/>
          <w:szCs w:val="21"/>
          <w:lang w:val="nl-BE" w:eastAsia="nl-BE"/>
        </w:rPr>
        <w:t>aub</w:t>
      </w:r>
      <w:proofErr w:type="spellEnd"/>
      <w:r w:rsidRPr="00B123A6">
        <w:rPr>
          <w:rFonts w:cs="Tahoma"/>
          <w:szCs w:val="21"/>
          <w:lang w:val="nl-BE" w:eastAsia="nl-BE"/>
        </w:rPr>
        <w:t xml:space="preserve">). </w:t>
      </w:r>
    </w:p>
    <w:p w:rsidR="00AC3369" w:rsidRPr="00B123A6" w:rsidRDefault="00AC3369" w:rsidP="00AC3369">
      <w:pPr>
        <w:autoSpaceDE w:val="0"/>
        <w:autoSpaceDN w:val="0"/>
        <w:adjustRightInd w:val="0"/>
        <w:rPr>
          <w:rFonts w:cs="Tahoma"/>
          <w:szCs w:val="21"/>
          <w:lang w:val="nl-BE" w:eastAsia="nl-BE"/>
        </w:rPr>
      </w:pPr>
    </w:p>
    <w:p w:rsidR="00AC3369" w:rsidRPr="00B123A6" w:rsidRDefault="00AC3369" w:rsidP="00AC3369">
      <w:pPr>
        <w:autoSpaceDE w:val="0"/>
        <w:autoSpaceDN w:val="0"/>
        <w:adjustRightInd w:val="0"/>
        <w:rPr>
          <w:rFonts w:cs="Tahoma"/>
          <w:szCs w:val="21"/>
          <w:lang w:val="nl-BE" w:eastAsia="nl-BE"/>
        </w:rPr>
      </w:pPr>
      <w:r w:rsidRPr="00B123A6">
        <w:rPr>
          <w:rFonts w:cs="Tahoma"/>
          <w:szCs w:val="21"/>
          <w:lang w:val="nl-BE" w:eastAsia="nl-BE"/>
        </w:rPr>
        <w:t>De inschrijver voegt aan de offerte een schets toe van de constructie zoals deze aangeboden zal worden.</w:t>
      </w:r>
    </w:p>
    <w:p w:rsidR="00AC3369" w:rsidRPr="00B123A6" w:rsidRDefault="00AC3369" w:rsidP="00AC3369">
      <w:pPr>
        <w:autoSpaceDE w:val="0"/>
        <w:autoSpaceDN w:val="0"/>
        <w:adjustRightInd w:val="0"/>
        <w:rPr>
          <w:rFonts w:cs="Tahoma"/>
          <w:szCs w:val="21"/>
          <w:lang w:val="nl-BE" w:eastAsia="nl-BE"/>
        </w:rPr>
      </w:pPr>
    </w:p>
    <w:p w:rsidR="00AC3369" w:rsidRPr="00B123A6" w:rsidRDefault="00AC3369" w:rsidP="00AC3369">
      <w:pPr>
        <w:autoSpaceDE w:val="0"/>
        <w:autoSpaceDN w:val="0"/>
        <w:adjustRightInd w:val="0"/>
        <w:rPr>
          <w:rFonts w:cs="Tahoma"/>
          <w:szCs w:val="21"/>
          <w:lang w:val="nl-BE" w:eastAsia="nl-BE"/>
        </w:rPr>
      </w:pPr>
      <w:r w:rsidRPr="00B123A6">
        <w:rPr>
          <w:rFonts w:cs="Tahoma"/>
          <w:szCs w:val="21"/>
          <w:lang w:val="nl-BE" w:eastAsia="nl-BE"/>
        </w:rPr>
        <w:t>Indien andere materialen dan stellingbouw worden aangeboden, dienen dit minimaal gelijkwaardige equivalenten te zijn.</w:t>
      </w:r>
    </w:p>
    <w:p w:rsidR="00AC3369" w:rsidRPr="00B123A6" w:rsidRDefault="00AC3369" w:rsidP="00AC3369">
      <w:pPr>
        <w:rPr>
          <w:szCs w:val="21"/>
          <w:lang w:val="nl-NL" w:eastAsia="nl-NL"/>
        </w:rPr>
      </w:pPr>
      <w:r w:rsidRPr="00B123A6">
        <w:rPr>
          <w:szCs w:val="21"/>
          <w:lang w:val="nl-NL" w:eastAsia="nl-NL"/>
        </w:rPr>
        <w:t>Bij twijfel kan de organisatie gecontacteerd worden voor toelichting.</w:t>
      </w:r>
    </w:p>
    <w:p w:rsidR="00AC3369" w:rsidRPr="006979E5" w:rsidRDefault="00AC3369" w:rsidP="00AC3369">
      <w:pPr>
        <w:keepNext/>
        <w:rPr>
          <w:lang w:val="nl-BE"/>
        </w:rPr>
      </w:pPr>
    </w:p>
    <w:p w:rsidR="00AC3369" w:rsidRPr="006979E5" w:rsidRDefault="00AC3369" w:rsidP="00AC3369">
      <w:pPr>
        <w:pStyle w:val="Kop2"/>
      </w:pPr>
      <w:bookmarkStart w:id="4" w:name="_Toc5268572"/>
      <w:r w:rsidRPr="006979E5">
        <w:t>Perceel 2: Fruitmarkt</w:t>
      </w:r>
      <w:bookmarkEnd w:id="4"/>
    </w:p>
    <w:p w:rsidR="00AC3369" w:rsidRPr="006979E5" w:rsidRDefault="00AC3369" w:rsidP="00AC3369">
      <w:pPr>
        <w:keepNext/>
        <w:rPr>
          <w:lang w:val="nl-BE"/>
        </w:rPr>
      </w:pPr>
    </w:p>
    <w:p w:rsidR="00AC3369" w:rsidRPr="00B123A6" w:rsidRDefault="00AC3369" w:rsidP="00AC3369">
      <w:pPr>
        <w:rPr>
          <w:rFonts w:cs="Arial"/>
          <w:szCs w:val="21"/>
          <w:lang w:val="nl-BE" w:eastAsia="nl-NL"/>
        </w:rPr>
      </w:pPr>
      <w:r w:rsidRPr="00B123A6">
        <w:rPr>
          <w:rFonts w:cs="Arial"/>
          <w:bCs/>
          <w:szCs w:val="21"/>
          <w:lang w:val="en-US" w:eastAsia="nl-NL"/>
        </w:rPr>
        <w:t xml:space="preserve">De </w:t>
      </w:r>
      <w:proofErr w:type="spellStart"/>
      <w:r w:rsidRPr="00B123A6">
        <w:rPr>
          <w:rFonts w:cs="Arial"/>
          <w:bCs/>
          <w:szCs w:val="21"/>
          <w:lang w:val="en-US" w:eastAsia="nl-NL"/>
        </w:rPr>
        <w:t>Fruitmarkt</w:t>
      </w:r>
      <w:proofErr w:type="spellEnd"/>
      <w:r w:rsidRPr="00B123A6">
        <w:rPr>
          <w:rFonts w:cs="Arial"/>
          <w:bCs/>
          <w:szCs w:val="21"/>
          <w:lang w:val="en-US" w:eastAsia="nl-NL"/>
        </w:rPr>
        <w:t xml:space="preserve"> is </w:t>
      </w:r>
      <w:proofErr w:type="spellStart"/>
      <w:r w:rsidRPr="00B123A6">
        <w:rPr>
          <w:rFonts w:cs="Arial"/>
          <w:bCs/>
          <w:szCs w:val="21"/>
          <w:lang w:val="en-US" w:eastAsia="nl-NL"/>
        </w:rPr>
        <w:t>een</w:t>
      </w:r>
      <w:proofErr w:type="spellEnd"/>
      <w:r w:rsidRPr="00B123A6">
        <w:rPr>
          <w:rFonts w:cs="Arial"/>
          <w:szCs w:val="21"/>
          <w:lang w:val="nl-BE" w:eastAsia="nl-NL"/>
        </w:rPr>
        <w:t xml:space="preserve"> plein omzoomd door huizen langs drie zijden, lengte = 50m, breedte = 24m.</w:t>
      </w:r>
    </w:p>
    <w:p w:rsidR="00AC3369" w:rsidRPr="00B123A6" w:rsidRDefault="00AC3369" w:rsidP="00AC3369">
      <w:pPr>
        <w:rPr>
          <w:rFonts w:cs="Arial"/>
          <w:szCs w:val="21"/>
          <w:lang w:val="nl-BE" w:eastAsia="nl-NL"/>
        </w:rPr>
      </w:pPr>
      <w:r w:rsidRPr="00B123A6">
        <w:rPr>
          <w:rFonts w:cs="Arial"/>
          <w:szCs w:val="21"/>
          <w:lang w:val="nl-BE" w:eastAsia="nl-NL"/>
        </w:rPr>
        <w:t xml:space="preserve">De ondergrond is beton en relatief vlak. </w:t>
      </w:r>
    </w:p>
    <w:p w:rsidR="00AC3369" w:rsidRPr="00B123A6" w:rsidRDefault="00AC3369" w:rsidP="00AC3369">
      <w:pPr>
        <w:rPr>
          <w:rFonts w:cs="Arial"/>
          <w:bCs/>
          <w:szCs w:val="21"/>
          <w:lang w:val="nl-NL" w:eastAsia="nl-NL"/>
        </w:rPr>
      </w:pPr>
    </w:p>
    <w:p w:rsidR="00AC3369" w:rsidRPr="00B123A6" w:rsidRDefault="00AC3369" w:rsidP="00AC3369">
      <w:pPr>
        <w:rPr>
          <w:rFonts w:cs="Arial"/>
          <w:bCs/>
          <w:szCs w:val="21"/>
          <w:lang w:val="nl-NL" w:eastAsia="nl-NL"/>
        </w:rPr>
      </w:pPr>
      <w:r w:rsidRPr="00B123A6">
        <w:rPr>
          <w:rFonts w:cs="Arial"/>
          <w:bCs/>
          <w:szCs w:val="21"/>
          <w:lang w:val="nl-NL" w:eastAsia="nl-NL"/>
        </w:rPr>
        <w:t>Voor deze locatie wenst de organisatie een inkleding te realiseren, gebaseerd op stellingbouw.</w:t>
      </w:r>
    </w:p>
    <w:p w:rsidR="00AC3369" w:rsidRPr="00B123A6" w:rsidRDefault="00AC3369" w:rsidP="00AC3369">
      <w:pPr>
        <w:rPr>
          <w:rFonts w:cs="Arial"/>
          <w:bCs/>
          <w:szCs w:val="21"/>
          <w:lang w:val="nl-NL" w:eastAsia="nl-NL"/>
        </w:rPr>
      </w:pPr>
      <w:r w:rsidRPr="00B123A6">
        <w:rPr>
          <w:rFonts w:cs="Arial"/>
          <w:bCs/>
          <w:szCs w:val="21"/>
          <w:lang w:val="nl-NL" w:eastAsia="nl-NL"/>
        </w:rPr>
        <w:t>In de constructie dienen de volgende elementen aanwezig te zijn:</w:t>
      </w:r>
    </w:p>
    <w:p w:rsidR="00AC3369" w:rsidRPr="00B123A6" w:rsidRDefault="00AC3369" w:rsidP="00AC3369">
      <w:pPr>
        <w:numPr>
          <w:ilvl w:val="0"/>
          <w:numId w:val="2"/>
        </w:numPr>
        <w:rPr>
          <w:rFonts w:cs="Arial"/>
          <w:bCs/>
          <w:szCs w:val="21"/>
          <w:lang w:val="nl-NL" w:eastAsia="nl-NL"/>
        </w:rPr>
      </w:pPr>
      <w:r w:rsidRPr="00B123A6">
        <w:rPr>
          <w:rFonts w:cs="Arial"/>
          <w:bCs/>
          <w:szCs w:val="21"/>
          <w:lang w:val="nl-NL" w:eastAsia="nl-NL"/>
        </w:rPr>
        <w:t>4 outdoor togen in stellingbouw, ca 5*5m, overdekt. Met de mogelijkheid om dagelijks deze togen af te sluiten (</w:t>
      </w:r>
      <w:proofErr w:type="spellStart"/>
      <w:r w:rsidRPr="00B123A6">
        <w:rPr>
          <w:rFonts w:cs="Arial"/>
          <w:bCs/>
          <w:szCs w:val="21"/>
          <w:lang w:val="nl-NL" w:eastAsia="nl-NL"/>
        </w:rPr>
        <w:t>bvb</w:t>
      </w:r>
      <w:proofErr w:type="spellEnd"/>
      <w:r w:rsidRPr="00B123A6">
        <w:rPr>
          <w:rFonts w:cs="Arial"/>
          <w:bCs/>
          <w:szCs w:val="21"/>
          <w:lang w:val="nl-NL" w:eastAsia="nl-NL"/>
        </w:rPr>
        <w:t xml:space="preserve"> door middel van </w:t>
      </w:r>
      <w:proofErr w:type="spellStart"/>
      <w:r w:rsidRPr="00B123A6">
        <w:rPr>
          <w:rFonts w:cs="Arial"/>
          <w:bCs/>
          <w:szCs w:val="21"/>
          <w:lang w:val="nl-NL" w:eastAsia="nl-NL"/>
        </w:rPr>
        <w:t>Heras</w:t>
      </w:r>
      <w:proofErr w:type="spellEnd"/>
      <w:r w:rsidRPr="00B123A6">
        <w:rPr>
          <w:rFonts w:cs="Arial"/>
          <w:bCs/>
          <w:szCs w:val="21"/>
          <w:lang w:val="nl-NL" w:eastAsia="nl-NL"/>
        </w:rPr>
        <w:t xml:space="preserve"> hekken);</w:t>
      </w:r>
    </w:p>
    <w:p w:rsidR="00AC3369" w:rsidRPr="00B123A6" w:rsidRDefault="00AC3369" w:rsidP="00AC3369">
      <w:pPr>
        <w:numPr>
          <w:ilvl w:val="0"/>
          <w:numId w:val="2"/>
        </w:numPr>
        <w:rPr>
          <w:rFonts w:cs="Arial"/>
          <w:bCs/>
          <w:szCs w:val="21"/>
          <w:lang w:val="nl-NL" w:eastAsia="nl-NL"/>
        </w:rPr>
      </w:pPr>
      <w:r w:rsidRPr="00B123A6">
        <w:rPr>
          <w:rFonts w:cs="Arial"/>
          <w:bCs/>
          <w:szCs w:val="21"/>
          <w:lang w:val="nl-NL" w:eastAsia="nl-NL"/>
        </w:rPr>
        <w:t>1 overdekte podiumconstructie, ca 8*6m, clearance min 4m, podiumvloer op min 1,2m;</w:t>
      </w:r>
    </w:p>
    <w:p w:rsidR="00AC3369" w:rsidRPr="00B123A6" w:rsidRDefault="00AC3369" w:rsidP="00AC3369">
      <w:pPr>
        <w:numPr>
          <w:ilvl w:val="0"/>
          <w:numId w:val="2"/>
        </w:numPr>
        <w:rPr>
          <w:rFonts w:cs="Arial"/>
          <w:bCs/>
          <w:szCs w:val="21"/>
          <w:lang w:val="nl-NL" w:eastAsia="nl-NL"/>
        </w:rPr>
      </w:pPr>
      <w:r w:rsidRPr="00B123A6">
        <w:rPr>
          <w:rFonts w:cs="Arial"/>
          <w:bCs/>
          <w:szCs w:val="21"/>
          <w:lang w:val="nl-NL" w:eastAsia="nl-NL"/>
        </w:rPr>
        <w:t xml:space="preserve">Een podiumtribune constructie waarbij door middel van het gebruik van verschillende </w:t>
      </w:r>
      <w:proofErr w:type="spellStart"/>
      <w:r w:rsidRPr="00B123A6">
        <w:rPr>
          <w:rFonts w:cs="Arial"/>
          <w:bCs/>
          <w:szCs w:val="21"/>
          <w:lang w:val="nl-NL" w:eastAsia="nl-NL"/>
        </w:rPr>
        <w:t>niveau’s</w:t>
      </w:r>
      <w:proofErr w:type="spellEnd"/>
      <w:r w:rsidRPr="00B123A6">
        <w:rPr>
          <w:rFonts w:cs="Arial"/>
          <w:bCs/>
          <w:szCs w:val="21"/>
          <w:lang w:val="nl-NL" w:eastAsia="nl-NL"/>
        </w:rPr>
        <w:t xml:space="preserve"> het publiek kan staan of zitten. Deze constructie kan aansluiten op de togen en bestaan uit verschillende elementen die over de locatie verspreid staan. Deze constructie dient een rustpunt te zijn en het publiek ook een podium geven.</w:t>
      </w:r>
    </w:p>
    <w:p w:rsidR="00AC3369" w:rsidRPr="00B123A6" w:rsidRDefault="00AC3369" w:rsidP="00AC3369">
      <w:pPr>
        <w:numPr>
          <w:ilvl w:val="0"/>
          <w:numId w:val="2"/>
        </w:numPr>
        <w:rPr>
          <w:rFonts w:cs="Arial"/>
          <w:bCs/>
          <w:szCs w:val="21"/>
          <w:lang w:val="nl-NL" w:eastAsia="nl-NL"/>
        </w:rPr>
      </w:pPr>
      <w:r w:rsidRPr="00B123A6">
        <w:rPr>
          <w:rFonts w:cs="Arial"/>
          <w:bCs/>
          <w:szCs w:val="21"/>
          <w:lang w:val="nl-NL" w:eastAsia="nl-NL"/>
        </w:rPr>
        <w:t>De aankleding van deze stellingbouw is een belangrijk element van deze realisatie. De inschrijver dient in de offerte aan te geven met welke materialen hij/zij deze constructie(s) wenst aan te kleden.</w:t>
      </w:r>
    </w:p>
    <w:p w:rsidR="00AC3369" w:rsidRPr="00B123A6" w:rsidRDefault="00AC3369" w:rsidP="00AC3369">
      <w:pPr>
        <w:rPr>
          <w:szCs w:val="21"/>
          <w:lang w:val="nl-NL" w:eastAsia="nl-NL"/>
        </w:rPr>
      </w:pPr>
    </w:p>
    <w:p w:rsidR="00AC3369" w:rsidRPr="00B123A6" w:rsidRDefault="00AC3369" w:rsidP="00AC3369">
      <w:pPr>
        <w:rPr>
          <w:szCs w:val="21"/>
          <w:lang w:val="nl-NL" w:eastAsia="nl-NL"/>
        </w:rPr>
      </w:pPr>
      <w:r w:rsidRPr="00B123A6">
        <w:rPr>
          <w:szCs w:val="21"/>
          <w:lang w:val="nl-NL" w:eastAsia="nl-NL"/>
        </w:rPr>
        <w:t>De inschrijver voegt aan de offerte een schets toe van de constructie zoals deze aangeboden zal worden + de gevraagde opbouwtijd die nodig is voor de realisatie van de constructie.</w:t>
      </w:r>
    </w:p>
    <w:p w:rsidR="00AC3369" w:rsidRPr="00B123A6" w:rsidRDefault="00AC3369" w:rsidP="00AC3369">
      <w:pPr>
        <w:rPr>
          <w:szCs w:val="21"/>
          <w:lang w:val="nl-NL" w:eastAsia="nl-NL"/>
        </w:rPr>
      </w:pPr>
    </w:p>
    <w:p w:rsidR="00AC3369" w:rsidRPr="00B123A6" w:rsidRDefault="00AC3369" w:rsidP="00AC3369">
      <w:pPr>
        <w:rPr>
          <w:szCs w:val="21"/>
          <w:lang w:val="nl-NL" w:eastAsia="nl-NL"/>
        </w:rPr>
      </w:pPr>
      <w:r w:rsidRPr="00B123A6">
        <w:rPr>
          <w:szCs w:val="21"/>
          <w:lang w:val="nl-NL" w:eastAsia="nl-NL"/>
        </w:rPr>
        <w:t>Indien andere materialen dan stellingbouw materialen worden aangeboden, dienen dit minimaal gelijkwaardige equivalenten te zijn.</w:t>
      </w:r>
    </w:p>
    <w:p w:rsidR="00AC3369" w:rsidRPr="00B123A6" w:rsidRDefault="00AC3369" w:rsidP="00AC3369">
      <w:pPr>
        <w:rPr>
          <w:szCs w:val="21"/>
          <w:lang w:val="nl-NL" w:eastAsia="nl-NL"/>
        </w:rPr>
      </w:pPr>
      <w:r w:rsidRPr="00B123A6">
        <w:rPr>
          <w:szCs w:val="21"/>
          <w:lang w:val="nl-NL" w:eastAsia="nl-NL"/>
        </w:rPr>
        <w:t>Bij twijfel kan de organisatie gecontacteerd worden voor toelichting.</w:t>
      </w:r>
    </w:p>
    <w:p w:rsidR="00AC3369" w:rsidRPr="006979E5" w:rsidRDefault="00AC3369" w:rsidP="00AC3369">
      <w:pPr>
        <w:keepNext/>
        <w:rPr>
          <w:lang w:val="nl-BE"/>
        </w:rPr>
      </w:pPr>
    </w:p>
    <w:p w:rsidR="00AC3369" w:rsidRPr="006979E5" w:rsidRDefault="00AC3369" w:rsidP="00AC3369">
      <w:pPr>
        <w:pStyle w:val="Kop2"/>
      </w:pPr>
      <w:bookmarkStart w:id="5" w:name="_Toc5268573"/>
      <w:r w:rsidRPr="006979E5">
        <w:t>Perceel 3: Tijdelijke infrastructuur op basis van stellingbouw.</w:t>
      </w:r>
      <w:bookmarkEnd w:id="5"/>
    </w:p>
    <w:p w:rsidR="00AC3369" w:rsidRPr="006979E5" w:rsidRDefault="00AC3369" w:rsidP="00AC3369">
      <w:pPr>
        <w:keepNext/>
        <w:rPr>
          <w:lang w:val="nl-BE"/>
        </w:rPr>
      </w:pPr>
    </w:p>
    <w:p w:rsidR="00AC3369" w:rsidRPr="00B123A6" w:rsidRDefault="00AC3369" w:rsidP="00AC3369">
      <w:pPr>
        <w:rPr>
          <w:lang w:val="nl-BE"/>
        </w:rPr>
      </w:pPr>
      <w:r w:rsidRPr="00B123A6">
        <w:rPr>
          <w:lang w:val="nl-BE"/>
        </w:rPr>
        <w:t>In dit perceel kan de inschrijver tijdelijke constructies toevoegen die op het festival als rustpunt, lounge area of gelijkwaardig equivalent kunnen toegevoegd worden.</w:t>
      </w:r>
    </w:p>
    <w:p w:rsidR="00AC3369" w:rsidRPr="00B123A6" w:rsidRDefault="00AC3369" w:rsidP="00AC3369">
      <w:pPr>
        <w:rPr>
          <w:lang w:val="nl-BE"/>
        </w:rPr>
      </w:pPr>
      <w:r w:rsidRPr="00B123A6">
        <w:rPr>
          <w:lang w:val="nl-BE"/>
        </w:rPr>
        <w:t>Graag een opgave van de eenheidsprijs per constructie.</w:t>
      </w:r>
    </w:p>
    <w:p w:rsidR="00AC3369" w:rsidRPr="00B123A6" w:rsidRDefault="00AC3369" w:rsidP="00AC3369">
      <w:pPr>
        <w:rPr>
          <w:lang w:val="nl-BE"/>
        </w:rPr>
      </w:pPr>
      <w:r w:rsidRPr="00B123A6">
        <w:rPr>
          <w:lang w:val="nl-BE"/>
        </w:rPr>
        <w:t>De inschrijver voegt een schets en/of illustraties van de constructie toe aan de offerte.</w:t>
      </w:r>
    </w:p>
    <w:p w:rsidR="00AC3369" w:rsidRPr="00B123A6" w:rsidRDefault="00AC3369" w:rsidP="00AC3369">
      <w:pPr>
        <w:rPr>
          <w:lang w:val="nl-BE"/>
        </w:rPr>
      </w:pPr>
      <w:r w:rsidRPr="00B123A6">
        <w:rPr>
          <w:lang w:val="nl-BE"/>
        </w:rPr>
        <w:t>De constructie kan in grootte variëren van ca 4*4m tot 10*10m.</w:t>
      </w:r>
    </w:p>
    <w:p w:rsidR="00AC3369" w:rsidRPr="00B123A6" w:rsidRDefault="00AC3369" w:rsidP="00AC3369">
      <w:pPr>
        <w:numPr>
          <w:ilvl w:val="0"/>
          <w:numId w:val="3"/>
        </w:numPr>
        <w:rPr>
          <w:b/>
          <w:lang w:val="en-US"/>
        </w:rPr>
      </w:pPr>
      <w:proofErr w:type="spellStart"/>
      <w:r w:rsidRPr="00B123A6">
        <w:rPr>
          <w:b/>
          <w:lang w:val="en-US"/>
        </w:rPr>
        <w:t>Veiligheidsparagraaf</w:t>
      </w:r>
      <w:proofErr w:type="spellEnd"/>
      <w:r w:rsidRPr="00B123A6">
        <w:rPr>
          <w:b/>
          <w:lang w:val="en-US"/>
        </w:rPr>
        <w:t xml:space="preserve"> (</w:t>
      </w:r>
      <w:proofErr w:type="spellStart"/>
      <w:r w:rsidRPr="00B123A6">
        <w:rPr>
          <w:b/>
          <w:lang w:val="en-US"/>
        </w:rPr>
        <w:t>voor</w:t>
      </w:r>
      <w:proofErr w:type="spellEnd"/>
      <w:r w:rsidRPr="00B123A6">
        <w:rPr>
          <w:b/>
          <w:lang w:val="en-US"/>
        </w:rPr>
        <w:t xml:space="preserve"> </w:t>
      </w:r>
      <w:proofErr w:type="spellStart"/>
      <w:r w:rsidRPr="00B123A6">
        <w:rPr>
          <w:b/>
          <w:lang w:val="en-US"/>
        </w:rPr>
        <w:t>alle</w:t>
      </w:r>
      <w:proofErr w:type="spellEnd"/>
      <w:r w:rsidRPr="00B123A6">
        <w:rPr>
          <w:b/>
          <w:lang w:val="en-US"/>
        </w:rPr>
        <w:t xml:space="preserve"> </w:t>
      </w:r>
      <w:proofErr w:type="spellStart"/>
      <w:r w:rsidRPr="00B123A6">
        <w:rPr>
          <w:b/>
          <w:lang w:val="en-US"/>
        </w:rPr>
        <w:t>percelen</w:t>
      </w:r>
      <w:proofErr w:type="spellEnd"/>
      <w:r w:rsidRPr="00B123A6">
        <w:rPr>
          <w:b/>
          <w:lang w:val="en-US"/>
        </w:rPr>
        <w:t>)</w:t>
      </w:r>
    </w:p>
    <w:p w:rsidR="00AC3369" w:rsidRPr="00B123A6" w:rsidRDefault="00AC3369" w:rsidP="00AC3369">
      <w:pPr>
        <w:rPr>
          <w:szCs w:val="20"/>
          <w:lang w:val="en-US"/>
        </w:rPr>
      </w:pPr>
    </w:p>
    <w:p w:rsidR="00AC3369" w:rsidRPr="00B123A6" w:rsidRDefault="00AC3369" w:rsidP="00AC3369">
      <w:pPr>
        <w:tabs>
          <w:tab w:val="left" w:pos="1080"/>
        </w:tabs>
        <w:rPr>
          <w:szCs w:val="21"/>
          <w:lang w:val="nl-NL" w:eastAsia="nl-NL"/>
        </w:rPr>
      </w:pPr>
      <w:r w:rsidRPr="00B123A6">
        <w:rPr>
          <w:szCs w:val="21"/>
          <w:lang w:val="nl-NL" w:eastAsia="nl-NL"/>
        </w:rPr>
        <w:t>Met het doel de werknemers te beschermen tegen de risico’s inherent aan hun arbeid, dient de apparatuur te voldoen aan :</w:t>
      </w:r>
    </w:p>
    <w:p w:rsidR="00AC3369" w:rsidRPr="00B123A6" w:rsidRDefault="00AC3369" w:rsidP="00AC3369">
      <w:pPr>
        <w:numPr>
          <w:ilvl w:val="0"/>
          <w:numId w:val="4"/>
        </w:numPr>
        <w:tabs>
          <w:tab w:val="left" w:pos="1080"/>
        </w:tabs>
        <w:rPr>
          <w:szCs w:val="21"/>
          <w:lang w:val="nl-NL" w:eastAsia="nl-NL"/>
        </w:rPr>
      </w:pPr>
      <w:r w:rsidRPr="00B123A6">
        <w:rPr>
          <w:szCs w:val="21"/>
          <w:lang w:val="nl-NL" w:eastAsia="nl-NL"/>
        </w:rPr>
        <w:t>De toepasselijke Belgische wetten, reglementen en normen inzake veiligheid en hygiëne, inzonderheid deze vervat in het ARAB, het AREI en de CODEX</w:t>
      </w:r>
    </w:p>
    <w:p w:rsidR="00AC3369" w:rsidRPr="00B123A6" w:rsidRDefault="00AC3369" w:rsidP="00AC3369">
      <w:pPr>
        <w:numPr>
          <w:ilvl w:val="0"/>
          <w:numId w:val="4"/>
        </w:numPr>
        <w:tabs>
          <w:tab w:val="left" w:pos="1080"/>
        </w:tabs>
        <w:rPr>
          <w:szCs w:val="21"/>
          <w:lang w:val="nl-NL" w:eastAsia="nl-NL"/>
        </w:rPr>
      </w:pPr>
      <w:r w:rsidRPr="00B123A6">
        <w:rPr>
          <w:szCs w:val="21"/>
          <w:lang w:val="nl-NL" w:eastAsia="nl-NL"/>
        </w:rPr>
        <w:t>De voorwaarden inzake veiligheid en hygiëne, niet noodzakelijk bij de vigerende wetten en reglementen inzake veiligheid en hygiëne opgelegd, maar onontbeerlijk om het objectief te bereiken vooropgesteld door het dynamisch risicobeheersingssysteem bedoeld in artikel 3 van het KB van 27/03/1998 betreffende het beleid inzake het welzijn van de werknemers bij de uitvoering van hun werk.</w:t>
      </w:r>
    </w:p>
    <w:p w:rsidR="00AC3369" w:rsidRPr="00B123A6" w:rsidRDefault="00AC3369" w:rsidP="00AC3369">
      <w:pPr>
        <w:tabs>
          <w:tab w:val="left" w:pos="1080"/>
        </w:tabs>
        <w:rPr>
          <w:szCs w:val="21"/>
          <w:lang w:val="nl-NL" w:eastAsia="nl-NL"/>
        </w:rPr>
      </w:pPr>
      <w:r w:rsidRPr="00B123A6">
        <w:rPr>
          <w:szCs w:val="21"/>
          <w:lang w:val="nl-NL" w:eastAsia="nl-NL"/>
        </w:rPr>
        <w:br/>
        <w:t xml:space="preserve">In dit kader worden de volgende bijkomende veiligheidseisen gesteld: </w:t>
      </w:r>
    </w:p>
    <w:p w:rsidR="00AC3369" w:rsidRPr="00B123A6" w:rsidRDefault="00AC3369" w:rsidP="00AC3369">
      <w:pPr>
        <w:numPr>
          <w:ilvl w:val="1"/>
          <w:numId w:val="4"/>
        </w:numPr>
        <w:tabs>
          <w:tab w:val="left" w:pos="1080"/>
        </w:tabs>
        <w:rPr>
          <w:szCs w:val="21"/>
          <w:lang w:val="nl-NL" w:eastAsia="nl-NL"/>
        </w:rPr>
      </w:pPr>
      <w:r w:rsidRPr="00B123A6">
        <w:rPr>
          <w:szCs w:val="21"/>
          <w:lang w:val="nl-NL" w:eastAsia="nl-NL"/>
        </w:rPr>
        <w:t>Vermelden van extra te nemen preventiemaatregelen bij op- en afbouw van de installaties</w:t>
      </w:r>
    </w:p>
    <w:p w:rsidR="00AC3369" w:rsidRPr="001E21D2" w:rsidRDefault="00AC3369" w:rsidP="00AC3369">
      <w:pPr>
        <w:numPr>
          <w:ilvl w:val="2"/>
          <w:numId w:val="4"/>
        </w:numPr>
        <w:tabs>
          <w:tab w:val="left" w:pos="1080"/>
        </w:tabs>
        <w:rPr>
          <w:szCs w:val="21"/>
          <w:lang w:val="nl-NL" w:eastAsia="nl-NL"/>
        </w:rPr>
      </w:pPr>
      <w:r w:rsidRPr="00B123A6">
        <w:rPr>
          <w:szCs w:val="21"/>
          <w:lang w:val="nl-NL" w:eastAsia="nl-NL"/>
        </w:rPr>
        <w:t xml:space="preserve">Iedere (onder-) aannemer zal voor de aanvang van de werken een </w:t>
      </w:r>
      <w:proofErr w:type="spellStart"/>
      <w:r w:rsidRPr="00B123A6">
        <w:rPr>
          <w:szCs w:val="21"/>
          <w:lang w:val="nl-NL" w:eastAsia="nl-NL"/>
        </w:rPr>
        <w:t>veiligheids</w:t>
      </w:r>
      <w:proofErr w:type="spellEnd"/>
      <w:r w:rsidRPr="00B123A6">
        <w:rPr>
          <w:szCs w:val="21"/>
          <w:lang w:val="nl-NL" w:eastAsia="nl-NL"/>
        </w:rPr>
        <w:t xml:space="preserve"> – en gezondheids</w:t>
      </w:r>
      <w:r w:rsidRPr="001E21D2">
        <w:rPr>
          <w:szCs w:val="21"/>
          <w:lang w:val="nl-NL" w:eastAsia="nl-NL"/>
        </w:rPr>
        <w:t>plan opstellen en voorleggen aan de stad Genk;</w:t>
      </w:r>
    </w:p>
    <w:p w:rsidR="00AC3369" w:rsidRPr="001E21D2" w:rsidRDefault="00AC3369" w:rsidP="00AC3369">
      <w:pPr>
        <w:numPr>
          <w:ilvl w:val="1"/>
          <w:numId w:val="4"/>
        </w:numPr>
        <w:tabs>
          <w:tab w:val="left" w:pos="1080"/>
        </w:tabs>
        <w:rPr>
          <w:szCs w:val="21"/>
          <w:lang w:val="nl-NL" w:eastAsia="nl-NL"/>
        </w:rPr>
      </w:pPr>
      <w:r w:rsidRPr="001E21D2">
        <w:rPr>
          <w:szCs w:val="21"/>
          <w:lang w:val="nl-NL" w:eastAsia="nl-NL"/>
        </w:rPr>
        <w:t>Voor aanvang zal er een coördinatievergadering plaats vinden waarbij de verantwoordelijke voor uitvoering en de preventie adviseur van elke (onder-)aannemer aanwezig dient te zijn;</w:t>
      </w:r>
    </w:p>
    <w:p w:rsidR="00AC3369" w:rsidRPr="001E21D2" w:rsidRDefault="00AC3369" w:rsidP="00AC3369">
      <w:pPr>
        <w:numPr>
          <w:ilvl w:val="1"/>
          <w:numId w:val="4"/>
        </w:numPr>
        <w:tabs>
          <w:tab w:val="left" w:pos="1080"/>
        </w:tabs>
        <w:rPr>
          <w:szCs w:val="21"/>
          <w:lang w:val="nl-NL" w:eastAsia="nl-NL"/>
        </w:rPr>
      </w:pPr>
      <w:r w:rsidRPr="001E21D2">
        <w:rPr>
          <w:szCs w:val="21"/>
          <w:lang w:val="nl-NL" w:eastAsia="nl-NL"/>
        </w:rPr>
        <w:t>Elke aannemer zal van alle hef – en hijstoestellen en -middelen recente en nog geldende keuringsverslagen voorleggen;</w:t>
      </w:r>
    </w:p>
    <w:p w:rsidR="00AC3369" w:rsidRPr="00613EAC" w:rsidRDefault="00AC3369" w:rsidP="00AC3369">
      <w:pPr>
        <w:numPr>
          <w:ilvl w:val="1"/>
          <w:numId w:val="4"/>
        </w:numPr>
        <w:tabs>
          <w:tab w:val="left" w:pos="1080"/>
        </w:tabs>
        <w:rPr>
          <w:szCs w:val="21"/>
          <w:lang w:val="nl-NL" w:eastAsia="nl-NL"/>
        </w:rPr>
      </w:pPr>
      <w:r w:rsidRPr="001E21D2">
        <w:rPr>
          <w:szCs w:val="21"/>
          <w:lang w:val="nl-NL" w:eastAsia="nl-NL"/>
        </w:rPr>
        <w:t>Alle eventuele keuringen uit te voeren door een EDTC (externe dienst voor technische controle) of een bevoegde persoon of instantie  (</w:t>
      </w:r>
      <w:proofErr w:type="spellStart"/>
      <w:r w:rsidRPr="001E21D2">
        <w:rPr>
          <w:szCs w:val="21"/>
          <w:lang w:val="nl-NL" w:eastAsia="nl-NL"/>
        </w:rPr>
        <w:t>bvb</w:t>
      </w:r>
      <w:proofErr w:type="spellEnd"/>
      <w:r w:rsidRPr="001E21D2">
        <w:rPr>
          <w:szCs w:val="21"/>
          <w:lang w:val="nl-NL" w:eastAsia="nl-NL"/>
        </w:rPr>
        <w:t xml:space="preserve">. Elektrische installaties, draagkracht, </w:t>
      </w:r>
      <w:proofErr w:type="spellStart"/>
      <w:r w:rsidRPr="001E21D2">
        <w:rPr>
          <w:szCs w:val="21"/>
          <w:lang w:val="nl-NL" w:eastAsia="nl-NL"/>
        </w:rPr>
        <w:t>etc</w:t>
      </w:r>
      <w:proofErr w:type="spellEnd"/>
      <w:r w:rsidRPr="001E21D2">
        <w:rPr>
          <w:szCs w:val="21"/>
          <w:lang w:val="nl-NL" w:eastAsia="nl-NL"/>
        </w:rPr>
        <w:t>…) worden in opdracht van en ten laste van de aannemer uitgevoerd.</w:t>
      </w:r>
    </w:p>
    <w:p w:rsidR="00AC3369" w:rsidRDefault="00AC3369" w:rsidP="00AC3369">
      <w:pPr>
        <w:rPr>
          <w:lang w:val="en-US"/>
        </w:rPr>
      </w:pPr>
    </w:p>
    <w:p w:rsidR="00AC3369" w:rsidRDefault="00AC3369" w:rsidP="00AC3369">
      <w:pPr>
        <w:numPr>
          <w:ilvl w:val="0"/>
          <w:numId w:val="3"/>
        </w:numPr>
        <w:rPr>
          <w:b/>
          <w:lang w:val="en-US"/>
        </w:rPr>
      </w:pPr>
      <w:proofErr w:type="spellStart"/>
      <w:r>
        <w:rPr>
          <w:b/>
          <w:lang w:val="en-US"/>
        </w:rPr>
        <w:t>Praktische</w:t>
      </w:r>
      <w:proofErr w:type="spellEnd"/>
      <w:r>
        <w:rPr>
          <w:b/>
          <w:lang w:val="en-US"/>
        </w:rPr>
        <w:t xml:space="preserve"> </w:t>
      </w:r>
      <w:proofErr w:type="spellStart"/>
      <w:r>
        <w:rPr>
          <w:b/>
          <w:lang w:val="en-US"/>
        </w:rPr>
        <w:t>informatie</w:t>
      </w:r>
      <w:proofErr w:type="spellEnd"/>
    </w:p>
    <w:p w:rsidR="00AC3369" w:rsidRPr="00B123A6" w:rsidRDefault="00AC3369" w:rsidP="00AC3369">
      <w:pPr>
        <w:rPr>
          <w:rFonts w:cs="Arial"/>
          <w:szCs w:val="21"/>
          <w:lang w:val="nl-NL" w:eastAsia="nl-NL"/>
        </w:rPr>
      </w:pPr>
    </w:p>
    <w:p w:rsidR="00AC3369" w:rsidRPr="00B123A6" w:rsidRDefault="00AC3369" w:rsidP="00AC3369">
      <w:pPr>
        <w:rPr>
          <w:rFonts w:cs="Arial"/>
          <w:szCs w:val="21"/>
          <w:lang w:val="nl-NL" w:eastAsia="nl-NL"/>
        </w:rPr>
      </w:pPr>
      <w:r w:rsidRPr="00B123A6">
        <w:rPr>
          <w:rFonts w:cs="Arial"/>
          <w:b/>
          <w:bCs/>
          <w:szCs w:val="21"/>
          <w:lang w:val="nl-NL" w:eastAsia="nl-NL"/>
        </w:rPr>
        <w:t>Opbouw :</w:t>
      </w:r>
      <w:r w:rsidRPr="00B123A6">
        <w:rPr>
          <w:rFonts w:cs="Arial"/>
          <w:szCs w:val="21"/>
          <w:lang w:val="nl-NL" w:eastAsia="nl-NL"/>
        </w:rPr>
        <w:t xml:space="preserve"> </w:t>
      </w:r>
      <w:r w:rsidRPr="00B123A6">
        <w:rPr>
          <w:rFonts w:cs="Arial"/>
          <w:szCs w:val="21"/>
          <w:lang w:val="nl-NL" w:eastAsia="nl-NL"/>
        </w:rPr>
        <w:tab/>
        <w:t>Vanaf woensdag 26 juni 2019 (behalve perceel 1 d.i. maandag 24 juni 2019</w:t>
      </w:r>
      <w:r>
        <w:rPr>
          <w:rFonts w:cs="Arial"/>
          <w:szCs w:val="21"/>
          <w:lang w:val="nl-NL" w:eastAsia="nl-NL"/>
        </w:rPr>
        <w:t xml:space="preserve"> – 10 uur</w:t>
      </w:r>
      <w:r w:rsidRPr="00B123A6">
        <w:rPr>
          <w:rFonts w:cs="Arial"/>
          <w:szCs w:val="21"/>
          <w:lang w:val="nl-NL" w:eastAsia="nl-NL"/>
        </w:rPr>
        <w:t>);</w:t>
      </w:r>
    </w:p>
    <w:p w:rsidR="00AC3369" w:rsidRPr="00B123A6" w:rsidRDefault="00AC3369" w:rsidP="00AC3369">
      <w:pPr>
        <w:rPr>
          <w:rFonts w:cs="Arial"/>
          <w:szCs w:val="21"/>
          <w:lang w:val="nl-NL" w:eastAsia="nl-NL"/>
        </w:rPr>
      </w:pPr>
      <w:r w:rsidRPr="00B123A6">
        <w:rPr>
          <w:rFonts w:cs="Arial"/>
          <w:b/>
          <w:bCs/>
          <w:szCs w:val="21"/>
          <w:lang w:val="nl-NL" w:eastAsia="nl-NL"/>
        </w:rPr>
        <w:t>Demontage :</w:t>
      </w:r>
      <w:r w:rsidRPr="00B123A6">
        <w:rPr>
          <w:rFonts w:cs="Arial"/>
          <w:szCs w:val="21"/>
          <w:lang w:val="nl-NL" w:eastAsia="nl-NL"/>
        </w:rPr>
        <w:tab/>
        <w:t xml:space="preserve">Maandag </w:t>
      </w:r>
      <w:r>
        <w:rPr>
          <w:rFonts w:cs="Arial"/>
          <w:szCs w:val="21"/>
          <w:lang w:val="nl-NL" w:eastAsia="nl-NL"/>
        </w:rPr>
        <w:t>01 juli 2019 vanaf 08 uur.</w:t>
      </w:r>
    </w:p>
    <w:p w:rsidR="00AC3369" w:rsidRPr="00B123A6" w:rsidRDefault="00AC3369" w:rsidP="00AC3369">
      <w:pPr>
        <w:rPr>
          <w:rFonts w:cs="Arial"/>
          <w:szCs w:val="21"/>
          <w:lang w:val="nl-NL" w:eastAsia="nl-NL"/>
        </w:rPr>
      </w:pPr>
    </w:p>
    <w:p w:rsidR="00AC3369" w:rsidRPr="001E21D2" w:rsidRDefault="00AC3369" w:rsidP="00AC3369">
      <w:pPr>
        <w:rPr>
          <w:rFonts w:cs="Arial"/>
          <w:szCs w:val="21"/>
          <w:lang w:val="nl-NL" w:eastAsia="nl-NL"/>
        </w:rPr>
      </w:pPr>
      <w:r w:rsidRPr="001E21D2">
        <w:rPr>
          <w:rFonts w:cs="Arial"/>
          <w:szCs w:val="21"/>
          <w:lang w:val="nl-NL" w:eastAsia="nl-NL"/>
        </w:rPr>
        <w:t>Detail van timing van montage en demontage wordt in overleg met de inschrijver na toewijzing van de offerte vastgelegd.</w:t>
      </w:r>
    </w:p>
    <w:p w:rsidR="00AC3369" w:rsidRPr="001E21D2" w:rsidRDefault="00AC3369" w:rsidP="00AC3369">
      <w:pPr>
        <w:rPr>
          <w:rFonts w:cs="Arial"/>
          <w:szCs w:val="21"/>
          <w:lang w:val="nl-NL" w:eastAsia="nl-NL"/>
        </w:rPr>
      </w:pPr>
    </w:p>
    <w:p w:rsidR="00AC3369" w:rsidRPr="001E21D2" w:rsidRDefault="00AC3369" w:rsidP="00AC3369">
      <w:pPr>
        <w:rPr>
          <w:rFonts w:cs="Arial"/>
          <w:szCs w:val="21"/>
          <w:lang w:val="nl-NL" w:eastAsia="nl-NL"/>
        </w:rPr>
      </w:pPr>
      <w:r w:rsidRPr="001E21D2">
        <w:rPr>
          <w:rFonts w:cs="Arial"/>
          <w:szCs w:val="21"/>
          <w:lang w:val="nl-NL" w:eastAsia="nl-NL"/>
        </w:rPr>
        <w:t xml:space="preserve">De Stad Genk zorgt - indien nodig - mee voor de opbouw (gelieve in de offerte op te nemen hoeveel medewerking vereist is). </w:t>
      </w:r>
    </w:p>
    <w:p w:rsidR="00AC3369" w:rsidRPr="001E21D2" w:rsidRDefault="00AC3369" w:rsidP="00AC3369">
      <w:pPr>
        <w:rPr>
          <w:rFonts w:cs="Arial"/>
          <w:szCs w:val="21"/>
          <w:lang w:val="nl-NL" w:eastAsia="nl-NL"/>
        </w:rPr>
      </w:pPr>
    </w:p>
    <w:p w:rsidR="00AC3369" w:rsidRPr="00F77F1A" w:rsidRDefault="00AC3369" w:rsidP="00AC3369">
      <w:pPr>
        <w:keepNext/>
        <w:rPr>
          <w:lang w:val="nl-BE"/>
        </w:rPr>
      </w:pPr>
      <w:r w:rsidRPr="001E21D2">
        <w:rPr>
          <w:szCs w:val="21"/>
          <w:lang w:val="nl-NL" w:eastAsia="nl-NL"/>
        </w:rPr>
        <w:t xml:space="preserve">Bijkomende toelichting hierover kan aangevraagd worden bij </w:t>
      </w:r>
      <w:smartTag w:uri="urn:schemas-microsoft-com:office:smarttags" w:element="PersonName">
        <w:smartTagPr>
          <w:attr w:name="ProductID" w:val="Roel Rabijns"/>
        </w:smartTagPr>
        <w:r w:rsidRPr="001E21D2">
          <w:rPr>
            <w:szCs w:val="21"/>
            <w:lang w:val="nl-NL" w:eastAsia="nl-NL"/>
          </w:rPr>
          <w:t>Roel Rabijns</w:t>
        </w:r>
      </w:smartTag>
      <w:r w:rsidRPr="001E21D2">
        <w:rPr>
          <w:szCs w:val="21"/>
          <w:lang w:val="nl-NL" w:eastAsia="nl-NL"/>
        </w:rPr>
        <w:t xml:space="preserve">, tel. 089 65 44 55, </w:t>
      </w:r>
      <w:hyperlink r:id="rId6" w:history="1">
        <w:r w:rsidRPr="00F77F1A">
          <w:rPr>
            <w:szCs w:val="21"/>
            <w:u w:val="single"/>
            <w:lang w:val="nl-NL" w:eastAsia="nl-NL"/>
          </w:rPr>
          <w:t>roel.rabijns@genk.be</w:t>
        </w:r>
      </w:hyperlink>
    </w:p>
    <w:p w:rsidR="00AC3369" w:rsidRPr="00F77F1A" w:rsidRDefault="00AC3369" w:rsidP="00AC3369">
      <w:pPr>
        <w:keepNext/>
        <w:rPr>
          <w:lang w:val="nl-BE"/>
        </w:rPr>
      </w:pPr>
    </w:p>
    <w:p w:rsidR="00AC3369" w:rsidRPr="00D31EE0" w:rsidRDefault="00AC3369" w:rsidP="00AC3369"/>
    <w:p w:rsidR="001A4ECC" w:rsidRDefault="001A4ECC"/>
    <w:sectPr w:rsidR="001A4ECC" w:rsidSect="004C787C">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ZapfCalligr BT">
    <w:altName w:val="Palatino Linotype"/>
    <w:charset w:val="00"/>
    <w:family w:val="roman"/>
    <w:pitch w:val="variable"/>
    <w:sig w:usb0="00000001" w:usb1="0000004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3A6908B0"/>
    <w:multiLevelType w:val="hybridMultilevel"/>
    <w:tmpl w:val="750CD142"/>
    <w:lvl w:ilvl="0" w:tplc="85E2A8FC">
      <w:start w:val="3"/>
      <w:numFmt w:val="bullet"/>
      <w:lvlText w:val="-"/>
      <w:lvlJc w:val="left"/>
      <w:pPr>
        <w:ind w:left="720" w:hanging="360"/>
      </w:pPr>
      <w:rPr>
        <w:rFonts w:ascii="ZapfCalligr BT" w:eastAsia="Times New Roman" w:hAnsi="ZapfCalligr BT"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BA97C50"/>
    <w:multiLevelType w:val="hybridMultilevel"/>
    <w:tmpl w:val="AE987F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975067E"/>
    <w:multiLevelType w:val="hybridMultilevel"/>
    <w:tmpl w:val="428C6B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369"/>
    <w:rsid w:val="001A4ECC"/>
    <w:rsid w:val="0020613D"/>
    <w:rsid w:val="002E3A91"/>
    <w:rsid w:val="004C787C"/>
    <w:rsid w:val="006F5692"/>
    <w:rsid w:val="00AC3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3369"/>
    <w:rPr>
      <w:rFonts w:ascii="ZapfCalligr BT" w:hAnsi="ZapfCalligr BT"/>
      <w:sz w:val="21"/>
      <w:szCs w:val="24"/>
      <w:lang w:val="en-GB" w:eastAsia="en-US"/>
    </w:rPr>
  </w:style>
  <w:style w:type="paragraph" w:styleId="Kop1">
    <w:name w:val="heading 1"/>
    <w:basedOn w:val="Standaard"/>
    <w:next w:val="Standaard"/>
    <w:link w:val="Kop1Char"/>
    <w:qFormat/>
    <w:rsid w:val="00AC336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AC336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AC336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AC336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AC3369"/>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AC3369"/>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AC3369"/>
    <w:rPr>
      <w:rFonts w:ascii="ZapfCalligr BT" w:hAnsi="ZapfCalligr BT"/>
      <w:b/>
      <w:color w:val="000080"/>
      <w:sz w:val="24"/>
      <w:lang w:eastAsia="en-US"/>
    </w:rPr>
  </w:style>
  <w:style w:type="character" w:customStyle="1" w:styleId="Kop4Char">
    <w:name w:val="Kop 4 Char"/>
    <w:basedOn w:val="Standaardalinea-lettertype"/>
    <w:link w:val="Kop4"/>
    <w:rsid w:val="00AC3369"/>
    <w:rPr>
      <w:rFonts w:ascii="ZapfCalligr BT" w:hAnsi="ZapfCalligr BT"/>
      <w:b/>
      <w:color w:val="000080"/>
      <w:sz w:val="22"/>
      <w:lang w:eastAsia="en-US"/>
    </w:rPr>
  </w:style>
  <w:style w:type="paragraph" w:styleId="Inhopg2">
    <w:name w:val="toc 2"/>
    <w:basedOn w:val="Standaard"/>
    <w:next w:val="Standaard"/>
    <w:autoRedefine/>
    <w:uiPriority w:val="39"/>
    <w:rsid w:val="00AC3369"/>
    <w:pPr>
      <w:ind w:left="180"/>
    </w:pPr>
    <w:rPr>
      <w:smallCaps/>
      <w:szCs w:val="20"/>
      <w:lang w:val="nl-BE"/>
    </w:rPr>
  </w:style>
  <w:style w:type="character" w:styleId="Hyperlink">
    <w:name w:val="Hyperlink"/>
    <w:uiPriority w:val="99"/>
    <w:rsid w:val="00AC33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C3369"/>
    <w:rPr>
      <w:rFonts w:ascii="ZapfCalligr BT" w:hAnsi="ZapfCalligr BT"/>
      <w:sz w:val="21"/>
      <w:szCs w:val="24"/>
      <w:lang w:val="en-GB" w:eastAsia="en-US"/>
    </w:rPr>
  </w:style>
  <w:style w:type="paragraph" w:styleId="Kop1">
    <w:name w:val="heading 1"/>
    <w:basedOn w:val="Standaard"/>
    <w:next w:val="Standaard"/>
    <w:link w:val="Kop1Char"/>
    <w:qFormat/>
    <w:rsid w:val="00AC3369"/>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AC3369"/>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AC3369"/>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AC3369"/>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character" w:customStyle="1" w:styleId="Kop1Char">
    <w:name w:val="Kop 1 Char"/>
    <w:basedOn w:val="Standaardalinea-lettertype"/>
    <w:link w:val="Kop1"/>
    <w:rsid w:val="00AC3369"/>
    <w:rPr>
      <w:rFonts w:ascii="ZapfCalligr BT" w:hAnsi="ZapfCalligr BT"/>
      <w:b/>
      <w:color w:val="FFFFFF"/>
      <w:kern w:val="28"/>
      <w:sz w:val="28"/>
      <w:shd w:val="clear" w:color="auto" w:fill="000080"/>
      <w:lang w:eastAsia="en-US"/>
    </w:rPr>
  </w:style>
  <w:style w:type="character" w:customStyle="1" w:styleId="Kop2Char">
    <w:name w:val="Kop 2 Char"/>
    <w:aliases w:val="2 Char,Chapter x.x Char,H2 Char,Header 2 Char,Heading 2a Char,UNDERRUBRIK 1-2 Char,h2 Char,l2 Char"/>
    <w:basedOn w:val="Standaardalinea-lettertype"/>
    <w:link w:val="Kop2"/>
    <w:rsid w:val="00AC3369"/>
    <w:rPr>
      <w:rFonts w:ascii="ZapfCalligr BT" w:hAnsi="ZapfCalligr BT"/>
      <w:b/>
      <w:color w:val="000080"/>
      <w:sz w:val="28"/>
      <w:lang w:eastAsia="en-US"/>
    </w:rPr>
  </w:style>
  <w:style w:type="character" w:customStyle="1" w:styleId="Kop3Char">
    <w:name w:val="Kop 3 Char"/>
    <w:aliases w:val="Chapter x.x.x Char,H3 Char,Underrubrik2 Char,heading 3 Char"/>
    <w:basedOn w:val="Standaardalinea-lettertype"/>
    <w:link w:val="Kop3"/>
    <w:rsid w:val="00AC3369"/>
    <w:rPr>
      <w:rFonts w:ascii="ZapfCalligr BT" w:hAnsi="ZapfCalligr BT"/>
      <w:b/>
      <w:color w:val="000080"/>
      <w:sz w:val="24"/>
      <w:lang w:eastAsia="en-US"/>
    </w:rPr>
  </w:style>
  <w:style w:type="character" w:customStyle="1" w:styleId="Kop4Char">
    <w:name w:val="Kop 4 Char"/>
    <w:basedOn w:val="Standaardalinea-lettertype"/>
    <w:link w:val="Kop4"/>
    <w:rsid w:val="00AC3369"/>
    <w:rPr>
      <w:rFonts w:ascii="ZapfCalligr BT" w:hAnsi="ZapfCalligr BT"/>
      <w:b/>
      <w:color w:val="000080"/>
      <w:sz w:val="22"/>
      <w:lang w:eastAsia="en-US"/>
    </w:rPr>
  </w:style>
  <w:style w:type="paragraph" w:styleId="Inhopg2">
    <w:name w:val="toc 2"/>
    <w:basedOn w:val="Standaard"/>
    <w:next w:val="Standaard"/>
    <w:autoRedefine/>
    <w:uiPriority w:val="39"/>
    <w:rsid w:val="00AC3369"/>
    <w:pPr>
      <w:ind w:left="180"/>
    </w:pPr>
    <w:rPr>
      <w:smallCaps/>
      <w:szCs w:val="20"/>
      <w:lang w:val="nl-BE"/>
    </w:rPr>
  </w:style>
  <w:style w:type="character" w:styleId="Hyperlink">
    <w:name w:val="Hyperlink"/>
    <w:uiPriority w:val="99"/>
    <w:rsid w:val="00AC33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el.rabijns@genk.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1109</Words>
  <Characters>6349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Fiata Tiziana</dc:creator>
  <cp:lastModifiedBy>Lisanne Schildermans</cp:lastModifiedBy>
  <cp:revision>2</cp:revision>
  <dcterms:created xsi:type="dcterms:W3CDTF">2019-04-05T07:08:00Z</dcterms:created>
  <dcterms:modified xsi:type="dcterms:W3CDTF">2019-04-05T07:08:00Z</dcterms:modified>
</cp:coreProperties>
</file>