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FFC" w:rsidRPr="00711FFC" w:rsidRDefault="00711FFC" w:rsidP="00711FFC">
      <w:pPr>
        <w:keepNext/>
        <w:pageBreakBefore/>
        <w:shd w:val="clear" w:color="auto" w:fill="000080"/>
        <w:spacing w:before="240" w:after="60" w:line="240" w:lineRule="auto"/>
        <w:ind w:left="432" w:hanging="432"/>
        <w:jc w:val="both"/>
        <w:outlineLvl w:val="0"/>
        <w:rPr>
          <w:rFonts w:ascii="ZapfCalligr BT" w:eastAsia="Times New Roman" w:hAnsi="ZapfCalligr BT" w:cs="Times New Roman"/>
          <w:b/>
          <w:color w:val="FFFFFF"/>
          <w:kern w:val="28"/>
          <w:sz w:val="28"/>
          <w:szCs w:val="20"/>
        </w:rPr>
      </w:pPr>
      <w:bookmarkStart w:id="0" w:name="_Toc488223501"/>
      <w:bookmarkStart w:id="1" w:name="_Toc22722105"/>
      <w:bookmarkStart w:id="2" w:name="_GoBack"/>
      <w:bookmarkEnd w:id="2"/>
      <w:r w:rsidRPr="00711FFC">
        <w:rPr>
          <w:rFonts w:ascii="ZapfCalligr BT" w:eastAsia="Times New Roman" w:hAnsi="ZapfCalligr BT" w:cs="Times New Roman"/>
          <w:b/>
          <w:color w:val="FFFFFF"/>
          <w:kern w:val="28"/>
          <w:sz w:val="28"/>
          <w:szCs w:val="20"/>
        </w:rPr>
        <w:t>Technische bepalingen</w:t>
      </w:r>
      <w:bookmarkEnd w:id="0"/>
      <w:bookmarkEnd w:id="1"/>
    </w:p>
    <w:p w:rsidR="00711FFC" w:rsidRPr="00711FFC" w:rsidRDefault="00711FFC" w:rsidP="00711FFC">
      <w:pPr>
        <w:spacing w:after="0" w:line="240" w:lineRule="auto"/>
        <w:rPr>
          <w:rFonts w:ascii="ZapfCalligr BT" w:eastAsia="Times New Roman" w:hAnsi="ZapfCalligr BT" w:cs="Times New Roman"/>
          <w:sz w:val="21"/>
          <w:szCs w:val="24"/>
        </w:rPr>
      </w:pPr>
    </w:p>
    <w:p w:rsidR="00711FFC" w:rsidRPr="00711FFC" w:rsidRDefault="00711FFC" w:rsidP="00711FFC">
      <w:pPr>
        <w:keepNext/>
        <w:spacing w:after="0" w:line="240" w:lineRule="auto"/>
        <w:rPr>
          <w:rFonts w:ascii="ZapfCalligr BT" w:eastAsia="Times New Roman" w:hAnsi="ZapfCalligr BT" w:cs="Times New Roman"/>
          <w:sz w:val="21"/>
          <w:szCs w:val="24"/>
        </w:rPr>
      </w:pPr>
      <w:r w:rsidRPr="00711FFC">
        <w:rPr>
          <w:rFonts w:ascii="ZapfCalligr BT" w:eastAsia="Times New Roman" w:hAnsi="ZapfCalligr BT" w:cs="Times New Roman"/>
          <w:b/>
          <w:sz w:val="21"/>
          <w:szCs w:val="24"/>
          <w:u w:val="single"/>
        </w:rPr>
        <w:t>ALGEMEEN</w:t>
      </w:r>
    </w:p>
    <w:p w:rsidR="00711FFC" w:rsidRPr="00711FFC" w:rsidRDefault="00711FFC" w:rsidP="00711FFC">
      <w:pPr>
        <w:keepNext/>
        <w:spacing w:after="0" w:line="240" w:lineRule="auto"/>
        <w:rPr>
          <w:rFonts w:ascii="ZapfCalligr BT" w:eastAsia="Times New Roman" w:hAnsi="ZapfCalligr BT" w:cs="Times New Roman"/>
          <w:sz w:val="21"/>
          <w:szCs w:val="24"/>
        </w:rPr>
      </w:pPr>
    </w:p>
    <w:p w:rsidR="00711FFC" w:rsidRPr="00711FFC" w:rsidRDefault="00711FFC" w:rsidP="00711FFC">
      <w:pPr>
        <w:keepNext/>
        <w:spacing w:after="0" w:line="240" w:lineRule="auto"/>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Stad Genk wenst over te gaan tot de aankoop van 1 zelfrijdende compacte hoogtewerker.</w:t>
      </w:r>
    </w:p>
    <w:p w:rsidR="00711FFC" w:rsidRPr="00711FFC" w:rsidRDefault="00711FFC" w:rsidP="00711FFC">
      <w:pPr>
        <w:keepNext/>
        <w:spacing w:after="0" w:line="240" w:lineRule="auto"/>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De levering van de hoogtewerker is voorzien in januari/februari 2020.</w:t>
      </w:r>
    </w:p>
    <w:p w:rsidR="00711FFC" w:rsidRPr="00711FFC" w:rsidRDefault="00711FFC" w:rsidP="00711FFC">
      <w:pPr>
        <w:keepNext/>
        <w:spacing w:after="0" w:line="240" w:lineRule="auto"/>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De preventieadviseur zal aanwezig zijn bij de opleiding voor het gebruik en de toelichting bij de veiligheidsvoorzieningen op de hoogtewerker door de leverancier of fabrikant.</w:t>
      </w:r>
    </w:p>
    <w:p w:rsidR="00711FFC" w:rsidRPr="00711FFC" w:rsidRDefault="00711FFC" w:rsidP="00711FFC">
      <w:pPr>
        <w:keepNext/>
        <w:spacing w:after="0" w:line="240" w:lineRule="auto"/>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Betaling van de factuur zal pas gebeuren na controle op de navolging van de algemene en bijkomende veiligheidseisen en goedkeuring voor ingebruikname door de preventieadviseur. Garantieperiode is minimaal 1 jaar bij normaal gebruik vanaf de datum van voornoemde goedkeuring voor ingebruikname. Het betreft een garantie op het gehele toestel en alle onderdelen van het toestel apart.</w:t>
      </w:r>
    </w:p>
    <w:p w:rsidR="00711FFC" w:rsidRPr="00711FFC" w:rsidRDefault="00711FFC" w:rsidP="00711FFC">
      <w:pPr>
        <w:keepNext/>
        <w:spacing w:after="0" w:line="240" w:lineRule="auto"/>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Deze eisen zullen onveranderd worden overgenomen op de offerte.</w:t>
      </w:r>
    </w:p>
    <w:p w:rsidR="00711FFC" w:rsidRPr="00711FFC" w:rsidRDefault="00711FFC" w:rsidP="00711FFC">
      <w:pPr>
        <w:keepNext/>
        <w:spacing w:after="0" w:line="240" w:lineRule="auto"/>
        <w:rPr>
          <w:rFonts w:ascii="ZapfCalligr BT" w:eastAsia="Times New Roman" w:hAnsi="ZapfCalligr BT" w:cs="Times New Roman"/>
          <w:sz w:val="21"/>
          <w:szCs w:val="24"/>
        </w:rPr>
      </w:pPr>
    </w:p>
    <w:p w:rsidR="00711FFC" w:rsidRPr="00711FFC" w:rsidRDefault="00711FFC" w:rsidP="00711FFC">
      <w:pPr>
        <w:keepNext/>
        <w:spacing w:after="0" w:line="240" w:lineRule="auto"/>
        <w:rPr>
          <w:rFonts w:ascii="ZapfCalligr BT" w:eastAsia="Times New Roman" w:hAnsi="ZapfCalligr BT" w:cs="Times New Roman"/>
          <w:sz w:val="21"/>
          <w:szCs w:val="24"/>
        </w:rPr>
      </w:pPr>
    </w:p>
    <w:p w:rsidR="00711FFC" w:rsidRPr="00711FFC" w:rsidRDefault="00711FFC" w:rsidP="00711FFC">
      <w:pPr>
        <w:keepNext/>
        <w:spacing w:after="0" w:line="240" w:lineRule="auto"/>
        <w:rPr>
          <w:rFonts w:ascii="ZapfCalligr BT" w:eastAsia="Times New Roman" w:hAnsi="ZapfCalligr BT" w:cs="Times New Roman"/>
          <w:sz w:val="21"/>
          <w:szCs w:val="24"/>
        </w:rPr>
      </w:pPr>
    </w:p>
    <w:p w:rsidR="00711FFC" w:rsidRPr="00711FFC" w:rsidRDefault="00711FFC" w:rsidP="00711FFC">
      <w:pPr>
        <w:keepNext/>
        <w:spacing w:after="0" w:line="240" w:lineRule="auto"/>
        <w:rPr>
          <w:rFonts w:ascii="ZapfCalligr BT" w:eastAsia="Times New Roman" w:hAnsi="ZapfCalligr BT" w:cs="Times New Roman"/>
          <w:sz w:val="21"/>
          <w:szCs w:val="24"/>
        </w:rPr>
      </w:pPr>
      <w:r w:rsidRPr="00711FFC">
        <w:rPr>
          <w:rFonts w:ascii="ZapfCalligr BT" w:eastAsia="Times New Roman" w:hAnsi="ZapfCalligr BT" w:cs="Times New Roman"/>
          <w:b/>
          <w:sz w:val="21"/>
          <w:szCs w:val="24"/>
          <w:u w:val="single"/>
        </w:rPr>
        <w:t>TECHNISCHE BESCHRIJVING</w:t>
      </w:r>
    </w:p>
    <w:p w:rsidR="00711FFC" w:rsidRPr="00711FFC" w:rsidRDefault="00711FFC" w:rsidP="00711FFC">
      <w:pPr>
        <w:keepNext/>
        <w:spacing w:after="0" w:line="240" w:lineRule="auto"/>
        <w:rPr>
          <w:rFonts w:ascii="ZapfCalligr BT" w:eastAsia="Times New Roman" w:hAnsi="ZapfCalligr BT" w:cs="Times New Roman"/>
          <w:sz w:val="21"/>
          <w:szCs w:val="24"/>
        </w:rPr>
      </w:pP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minimum werkhoogte van 5,4 m</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minimum platformhoogte van 3,4 m</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minimum hefvermogen van 200 kg</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maximaal breedte van 75 cm</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maximaal eigengewicht van 750 kg</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maximale ingeschoven hoogte van 1,6 m</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maximale ingeschoven lengte van 1,4 m</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uitschuifbaar platform met minimaal 89 cm ingeschoven lengte en 1,4 m uitgeschoven lengte</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een rijsnelheid van ongeveer 4 km/h ingeschoven en 0.8 km/h op hoogte (met automatische rijsnelheidsbeveiliging)</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klimvermogen van minimum 30 %</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maximale buitendraaicirkel van 1,45 m</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r>
      <w:proofErr w:type="spellStart"/>
      <w:r w:rsidRPr="00711FFC">
        <w:rPr>
          <w:rFonts w:ascii="ZapfCalligr BT" w:eastAsia="Times New Roman" w:hAnsi="ZapfCalligr BT" w:cs="Times New Roman"/>
          <w:sz w:val="21"/>
          <w:szCs w:val="24"/>
        </w:rPr>
        <w:t>binnendraaicirkel</w:t>
      </w:r>
      <w:proofErr w:type="spellEnd"/>
      <w:r w:rsidRPr="00711FFC">
        <w:rPr>
          <w:rFonts w:ascii="ZapfCalligr BT" w:eastAsia="Times New Roman" w:hAnsi="ZapfCalligr BT" w:cs="Times New Roman"/>
          <w:sz w:val="21"/>
          <w:szCs w:val="24"/>
        </w:rPr>
        <w:t xml:space="preserve"> van 0</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solide banden die geen sporen achter laten op de vloer</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maximaal geluidsniveau in bedrijf van 70dBA</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makkelijk te proportioneren snelheid voor heffen en rijden met joystick met minimaal 2 hefsnelheden en 2 selecteerbare rijsnelheden</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oplaadbare 24V batterij + lader. Deze batterijlader werkt op het standaard Belgische stroomnetwerk en vraagt maximaal 16 ampère.</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indicatoren voor het opladen van de batterij</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zelfdiagnose systeem aan boord</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waarschuwingssignaal bij dalen en stijgen</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waarschuwingssignaal bij rijden voorzien van een nood-daalsysteem</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 xml:space="preserve">mee te leveren: veiligheidsharnas met </w:t>
      </w:r>
      <w:proofErr w:type="spellStart"/>
      <w:r w:rsidRPr="00711FFC">
        <w:rPr>
          <w:rFonts w:ascii="ZapfCalligr BT" w:eastAsia="Times New Roman" w:hAnsi="ZapfCalligr BT" w:cs="Times New Roman"/>
          <w:sz w:val="21"/>
          <w:szCs w:val="24"/>
        </w:rPr>
        <w:t>vallijn</w:t>
      </w:r>
      <w:proofErr w:type="spellEnd"/>
      <w:r w:rsidRPr="00711FFC">
        <w:rPr>
          <w:rFonts w:ascii="ZapfCalligr BT" w:eastAsia="Times New Roman" w:hAnsi="ZapfCalligr BT" w:cs="Times New Roman"/>
          <w:sz w:val="21"/>
          <w:szCs w:val="24"/>
        </w:rPr>
        <w:t xml:space="preserve"> en demper (inbindpunt op rug en borst) voor toepassing in deze hoogtewerker</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het platform is gemaakt van hoogwaardig aluminium</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het toestel heeft aangepaste remmen op minimaal 2 van de 4 wielen</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inclusief levering</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lastRenderedPageBreak/>
        <w:t>-</w:t>
      </w:r>
      <w:r w:rsidRPr="00711FFC">
        <w:rPr>
          <w:rFonts w:ascii="ZapfCalligr BT" w:eastAsia="Times New Roman" w:hAnsi="ZapfCalligr BT" w:cs="Times New Roman"/>
          <w:sz w:val="21"/>
          <w:szCs w:val="24"/>
        </w:rPr>
        <w:tab/>
        <w:t>inclusief keuring</w:t>
      </w:r>
    </w:p>
    <w:p w:rsidR="00711FFC" w:rsidRPr="00711FFC" w:rsidRDefault="00711FFC" w:rsidP="00711FFC">
      <w:pPr>
        <w:autoSpaceDE w:val="0"/>
        <w:autoSpaceDN w:val="0"/>
        <w:adjustRightInd w:val="0"/>
        <w:spacing w:after="11" w:line="240" w:lineRule="auto"/>
        <w:ind w:left="142" w:hanging="142"/>
        <w:rPr>
          <w:rFonts w:ascii="ZapfCalligr BT" w:eastAsia="Times New Roman" w:hAnsi="ZapfCalligr BT" w:cs="Times New Roman"/>
          <w:sz w:val="21"/>
          <w:szCs w:val="24"/>
        </w:rPr>
      </w:pPr>
      <w:r w:rsidRPr="00711FFC">
        <w:rPr>
          <w:rFonts w:ascii="ZapfCalligr BT" w:eastAsia="Times New Roman" w:hAnsi="ZapfCalligr BT" w:cs="Times New Roman"/>
          <w:sz w:val="21"/>
          <w:szCs w:val="24"/>
        </w:rPr>
        <w:t>-</w:t>
      </w:r>
      <w:r w:rsidRPr="00711FFC">
        <w:rPr>
          <w:rFonts w:ascii="ZapfCalligr BT" w:eastAsia="Times New Roman" w:hAnsi="ZapfCalligr BT" w:cs="Times New Roman"/>
          <w:sz w:val="21"/>
          <w:szCs w:val="24"/>
        </w:rPr>
        <w:tab/>
        <w:t>inclusief indienststelling</w:t>
      </w:r>
    </w:p>
    <w:p w:rsidR="00711FFC" w:rsidRPr="00711FFC" w:rsidRDefault="00711FFC" w:rsidP="00711FFC">
      <w:pPr>
        <w:keepNext/>
        <w:spacing w:after="0" w:line="240" w:lineRule="auto"/>
        <w:rPr>
          <w:rFonts w:ascii="ZapfCalligr BT" w:eastAsia="Times New Roman" w:hAnsi="ZapfCalligr BT" w:cs="Times New Roman"/>
          <w:b/>
          <w:sz w:val="21"/>
          <w:szCs w:val="24"/>
          <w:u w:val="single"/>
        </w:rPr>
      </w:pPr>
    </w:p>
    <w:p w:rsidR="00711FFC" w:rsidRPr="00711FFC" w:rsidRDefault="00711FFC" w:rsidP="00711FFC">
      <w:pPr>
        <w:keepNext/>
        <w:spacing w:after="0" w:line="240" w:lineRule="auto"/>
        <w:rPr>
          <w:rFonts w:ascii="ZapfCalligr BT" w:eastAsia="Times New Roman" w:hAnsi="ZapfCalligr BT" w:cs="Times New Roman"/>
          <w:b/>
          <w:sz w:val="21"/>
          <w:szCs w:val="24"/>
          <w:u w:val="single"/>
        </w:rPr>
      </w:pPr>
    </w:p>
    <w:p w:rsidR="00711FFC" w:rsidRPr="00711FFC" w:rsidRDefault="00711FFC" w:rsidP="00711FFC">
      <w:pPr>
        <w:keepNext/>
        <w:spacing w:after="0" w:line="240" w:lineRule="auto"/>
        <w:rPr>
          <w:rFonts w:ascii="ZapfCalligr BT" w:eastAsia="Times New Roman" w:hAnsi="ZapfCalligr BT" w:cs="Times New Roman"/>
          <w:b/>
          <w:sz w:val="21"/>
          <w:szCs w:val="24"/>
          <w:u w:val="single"/>
        </w:rPr>
      </w:pPr>
      <w:r w:rsidRPr="00711FFC">
        <w:rPr>
          <w:rFonts w:ascii="ZapfCalligr BT" w:eastAsia="Times New Roman" w:hAnsi="ZapfCalligr BT" w:cs="Times New Roman"/>
          <w:b/>
          <w:sz w:val="21"/>
          <w:szCs w:val="24"/>
          <w:u w:val="single"/>
        </w:rPr>
        <w:t>VEILIGHEIDSEISEN BIJ DE BESTELLING</w:t>
      </w:r>
    </w:p>
    <w:p w:rsidR="00711FFC" w:rsidRPr="00711FFC" w:rsidRDefault="00711FFC" w:rsidP="00711FFC">
      <w:pPr>
        <w:spacing w:after="0" w:line="240" w:lineRule="auto"/>
        <w:rPr>
          <w:rFonts w:ascii="Calibri" w:eastAsia="Times New Roman" w:hAnsi="Calibri" w:cs="Times New Roman"/>
          <w:sz w:val="24"/>
          <w:szCs w:val="24"/>
          <w:lang w:val="en-GB"/>
        </w:rPr>
      </w:pPr>
    </w:p>
    <w:p w:rsidR="00711FFC" w:rsidRPr="00711FFC" w:rsidRDefault="00711FFC" w:rsidP="00711FFC">
      <w:pPr>
        <w:spacing w:after="0" w:line="240" w:lineRule="auto"/>
        <w:rPr>
          <w:rFonts w:ascii="Calibri" w:eastAsia="Times New Roman" w:hAnsi="Calibri" w:cs="Times New Roman"/>
          <w:b/>
          <w:sz w:val="24"/>
          <w:szCs w:val="24"/>
          <w:u w:val="single"/>
          <w:lang w:val="en-GB"/>
        </w:rPr>
      </w:pPr>
      <w:proofErr w:type="spellStart"/>
      <w:r w:rsidRPr="00711FFC">
        <w:rPr>
          <w:rFonts w:ascii="Calibri" w:eastAsia="Times New Roman" w:hAnsi="Calibri" w:cs="Times New Roman"/>
          <w:b/>
          <w:sz w:val="24"/>
          <w:szCs w:val="24"/>
          <w:u w:val="single"/>
          <w:lang w:val="en-GB"/>
        </w:rPr>
        <w:t>Algemene</w:t>
      </w:r>
      <w:proofErr w:type="spellEnd"/>
      <w:r w:rsidRPr="00711FFC">
        <w:rPr>
          <w:rFonts w:ascii="Calibri" w:eastAsia="Times New Roman" w:hAnsi="Calibri" w:cs="Times New Roman"/>
          <w:b/>
          <w:sz w:val="24"/>
          <w:szCs w:val="24"/>
          <w:u w:val="single"/>
          <w:lang w:val="en-GB"/>
        </w:rPr>
        <w:t xml:space="preserve"> en </w:t>
      </w:r>
      <w:proofErr w:type="spellStart"/>
      <w:r w:rsidRPr="00711FFC">
        <w:rPr>
          <w:rFonts w:ascii="Calibri" w:eastAsia="Times New Roman" w:hAnsi="Calibri" w:cs="Times New Roman"/>
          <w:b/>
          <w:sz w:val="24"/>
          <w:szCs w:val="24"/>
          <w:u w:val="single"/>
          <w:lang w:val="en-GB"/>
        </w:rPr>
        <w:t>bijkomende</w:t>
      </w:r>
      <w:proofErr w:type="spellEnd"/>
      <w:r w:rsidRPr="00711FFC">
        <w:rPr>
          <w:rFonts w:ascii="Calibri" w:eastAsia="Times New Roman" w:hAnsi="Calibri" w:cs="Times New Roman"/>
          <w:b/>
          <w:sz w:val="24"/>
          <w:szCs w:val="24"/>
          <w:u w:val="single"/>
          <w:lang w:val="en-GB"/>
        </w:rPr>
        <w:t xml:space="preserve"> </w:t>
      </w:r>
      <w:proofErr w:type="spellStart"/>
      <w:r w:rsidRPr="00711FFC">
        <w:rPr>
          <w:rFonts w:ascii="Calibri" w:eastAsia="Times New Roman" w:hAnsi="Calibri" w:cs="Times New Roman"/>
          <w:b/>
          <w:sz w:val="24"/>
          <w:szCs w:val="24"/>
          <w:u w:val="single"/>
          <w:lang w:val="en-GB"/>
        </w:rPr>
        <w:t>veiligheidseisen</w:t>
      </w:r>
      <w:proofErr w:type="spellEnd"/>
    </w:p>
    <w:p w:rsidR="00711FFC" w:rsidRPr="00711FFC" w:rsidRDefault="00711FFC" w:rsidP="00711FFC">
      <w:pPr>
        <w:spacing w:after="0" w:line="240" w:lineRule="auto"/>
        <w:rPr>
          <w:rFonts w:ascii="Calibri" w:eastAsia="Times New Roman" w:hAnsi="Calibri" w:cs="Times New Roman"/>
          <w:sz w:val="24"/>
          <w:szCs w:val="24"/>
          <w:lang w:val="en-GB"/>
        </w:rPr>
      </w:pPr>
    </w:p>
    <w:p w:rsidR="00711FFC" w:rsidRPr="00711FFC" w:rsidRDefault="00711FFC" w:rsidP="00711FFC">
      <w:p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Met het doel de werknemers te beschermen tegen de risico’s inherent aan hun arbeid, dient de apparatuur te voldoen aan:</w:t>
      </w:r>
    </w:p>
    <w:p w:rsidR="00711FFC" w:rsidRPr="00711FFC" w:rsidRDefault="00711FFC" w:rsidP="00711FFC">
      <w:pPr>
        <w:numPr>
          <w:ilvl w:val="0"/>
          <w:numId w:val="1"/>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De toepasselijke Belgische wetten, reglementen en normen inzake veiligheid en hygiëne, inzonderheid deze vervat in het ARAB, het AREI en de CODEX.</w:t>
      </w:r>
    </w:p>
    <w:p w:rsidR="00711FFC" w:rsidRPr="00711FFC" w:rsidRDefault="00711FFC" w:rsidP="00711FFC">
      <w:pPr>
        <w:numPr>
          <w:ilvl w:val="0"/>
          <w:numId w:val="1"/>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De machinerichtlijn 2006/42/EG, CE-reglementering.</w:t>
      </w:r>
    </w:p>
    <w:p w:rsidR="00711FFC" w:rsidRPr="00711FFC" w:rsidRDefault="00711FFC" w:rsidP="00711FFC">
      <w:pPr>
        <w:numPr>
          <w:ilvl w:val="0"/>
          <w:numId w:val="1"/>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Norm NBN EN 280+A1-2015: Hoogwerkers - Ontwerpberekeningen - Stabiliteitscriteria - Constructie - Veiligheid - Inspecties en beproevingen.</w:t>
      </w:r>
    </w:p>
    <w:p w:rsidR="00711FFC" w:rsidRPr="00711FFC" w:rsidRDefault="00711FFC" w:rsidP="00711FFC">
      <w:pPr>
        <w:numPr>
          <w:ilvl w:val="0"/>
          <w:numId w:val="1"/>
        </w:numPr>
        <w:spacing w:after="0" w:line="240" w:lineRule="auto"/>
        <w:contextualSpacing/>
        <w:rPr>
          <w:rFonts w:ascii="Calibri" w:eastAsia="Times New Roman" w:hAnsi="Calibri" w:cs="Tahoma"/>
          <w:sz w:val="24"/>
          <w:szCs w:val="24"/>
          <w:lang w:eastAsia="nl-NL"/>
        </w:rPr>
      </w:pPr>
      <w:r w:rsidRPr="00711FFC">
        <w:rPr>
          <w:rFonts w:ascii="Calibri" w:eastAsia="Times New Roman" w:hAnsi="Calibri" w:cs="Tahoma"/>
          <w:sz w:val="24"/>
          <w:szCs w:val="24"/>
          <w:lang w:eastAsia="nl-NL"/>
        </w:rPr>
        <w:t>Het KB van 07/07/2005 m.b.t. mechanische trillingen.</w:t>
      </w:r>
    </w:p>
    <w:p w:rsidR="00711FFC" w:rsidRPr="00711FFC" w:rsidRDefault="00711FFC" w:rsidP="00711FFC">
      <w:pPr>
        <w:numPr>
          <w:ilvl w:val="0"/>
          <w:numId w:val="1"/>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De voorwaarden inzake veiligheid en hygiëne, niet noodzakelijk bij de vigerende wetten en reglementen inzake veiligheid en hygiëne opgelegd, maar onontbeerlijk om het objectief te bereiken vooropgesteld door het dynamisch risicobeheersingssysteem bedoeld in artikel 3 van het KB van 27/03/1998 betreffende het beleid inzake het welzijn van de werknemers bij de uitvoering van hun werk.</w:t>
      </w:r>
      <w:r w:rsidRPr="00711FFC">
        <w:rPr>
          <w:rFonts w:ascii="Calibri" w:eastAsia="Times New Roman" w:hAnsi="Calibri" w:cs="Tahoma"/>
          <w:sz w:val="24"/>
          <w:szCs w:val="24"/>
        </w:rPr>
        <w:br/>
        <w:t xml:space="preserve">In dit kader worden de volgende bijkomende veiligheidseisen gesteld: </w:t>
      </w:r>
    </w:p>
    <w:p w:rsidR="00711FFC" w:rsidRPr="00711FFC" w:rsidRDefault="00711FFC" w:rsidP="00711FFC">
      <w:pPr>
        <w:numPr>
          <w:ilvl w:val="1"/>
          <w:numId w:val="1"/>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Vermelden van het geproduceerde geluidsniveau (dB) (max 70dB(A)).</w:t>
      </w:r>
    </w:p>
    <w:p w:rsidR="00711FFC" w:rsidRPr="00711FFC" w:rsidRDefault="00711FFC" w:rsidP="00711FFC">
      <w:pPr>
        <w:numPr>
          <w:ilvl w:val="1"/>
          <w:numId w:val="1"/>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Vermelden van het trillingsniveau (m/s²) met vermelding van mogelijke alternatieven ter verbetering van het trillingsniveau.</w:t>
      </w:r>
    </w:p>
    <w:p w:rsidR="00711FFC" w:rsidRPr="00711FFC" w:rsidRDefault="00711FFC" w:rsidP="00711FFC">
      <w:pPr>
        <w:numPr>
          <w:ilvl w:val="1"/>
          <w:numId w:val="1"/>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Voorzien van een nood-daalsysteem.</w:t>
      </w:r>
    </w:p>
    <w:p w:rsidR="00711FFC" w:rsidRPr="00711FFC" w:rsidRDefault="00711FFC" w:rsidP="00711FFC">
      <w:pPr>
        <w:numPr>
          <w:ilvl w:val="1"/>
          <w:numId w:val="1"/>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 xml:space="preserve">Meeleveren van een veiligheidsharnas met </w:t>
      </w:r>
      <w:proofErr w:type="spellStart"/>
      <w:r w:rsidRPr="00711FFC">
        <w:rPr>
          <w:rFonts w:ascii="Calibri" w:eastAsia="Times New Roman" w:hAnsi="Calibri" w:cs="Tahoma"/>
          <w:sz w:val="24"/>
          <w:szCs w:val="24"/>
        </w:rPr>
        <w:t>vallijn</w:t>
      </w:r>
      <w:proofErr w:type="spellEnd"/>
      <w:r w:rsidRPr="00711FFC">
        <w:rPr>
          <w:rFonts w:ascii="Calibri" w:eastAsia="Times New Roman" w:hAnsi="Calibri" w:cs="Tahoma"/>
          <w:sz w:val="24"/>
          <w:szCs w:val="24"/>
        </w:rPr>
        <w:t xml:space="preserve"> en demper voor toepassing in deze hoogtewerker. Inbindpunt op rug en borst.</w:t>
      </w:r>
    </w:p>
    <w:p w:rsidR="00711FFC" w:rsidRPr="00711FFC" w:rsidRDefault="00711FFC" w:rsidP="00711FFC">
      <w:pPr>
        <w:numPr>
          <w:ilvl w:val="0"/>
          <w:numId w:val="2"/>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CE-markering</w:t>
      </w:r>
    </w:p>
    <w:p w:rsidR="00711FFC" w:rsidRPr="00711FFC" w:rsidRDefault="00711FFC" w:rsidP="00711FFC">
      <w:pPr>
        <w:numPr>
          <w:ilvl w:val="1"/>
          <w:numId w:val="2"/>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Het toestel of, indien van toepassing, elk deelapparaat moet voorzien zijn van een CE-markering en de nodige veiligheidspictogrammen.</w:t>
      </w:r>
    </w:p>
    <w:p w:rsidR="00711FFC" w:rsidRPr="00711FFC" w:rsidRDefault="00711FFC" w:rsidP="00711FFC">
      <w:pPr>
        <w:spacing w:after="0" w:line="240" w:lineRule="auto"/>
        <w:rPr>
          <w:rFonts w:ascii="Calibri" w:eastAsia="Times New Roman" w:hAnsi="Calibri" w:cs="Tahoma"/>
          <w:sz w:val="24"/>
          <w:szCs w:val="24"/>
        </w:rPr>
      </w:pPr>
    </w:p>
    <w:p w:rsidR="00711FFC" w:rsidRPr="00711FFC" w:rsidRDefault="00711FFC" w:rsidP="00711FFC">
      <w:pPr>
        <w:spacing w:after="0" w:line="240" w:lineRule="auto"/>
        <w:rPr>
          <w:rFonts w:ascii="Calibri" w:eastAsia="Times New Roman" w:hAnsi="Calibri" w:cs="Times New Roman"/>
          <w:b/>
          <w:sz w:val="24"/>
          <w:szCs w:val="24"/>
          <w:u w:val="single"/>
          <w:lang w:val="en-GB"/>
        </w:rPr>
      </w:pPr>
      <w:proofErr w:type="spellStart"/>
      <w:r w:rsidRPr="00711FFC">
        <w:rPr>
          <w:rFonts w:ascii="Calibri" w:eastAsia="Times New Roman" w:hAnsi="Calibri" w:cs="Times New Roman"/>
          <w:b/>
          <w:sz w:val="24"/>
          <w:szCs w:val="24"/>
          <w:u w:val="single"/>
          <w:lang w:val="en-GB"/>
        </w:rPr>
        <w:t>Documenten</w:t>
      </w:r>
      <w:proofErr w:type="spellEnd"/>
    </w:p>
    <w:p w:rsidR="00711FFC" w:rsidRPr="00711FFC" w:rsidRDefault="00711FFC" w:rsidP="00711FFC">
      <w:pPr>
        <w:spacing w:after="0" w:line="240" w:lineRule="auto"/>
        <w:rPr>
          <w:rFonts w:ascii="Calibri" w:eastAsia="Times New Roman" w:hAnsi="Calibri" w:cs="Tahoma"/>
          <w:sz w:val="24"/>
          <w:szCs w:val="24"/>
        </w:rPr>
      </w:pPr>
    </w:p>
    <w:p w:rsidR="00711FFC" w:rsidRPr="00711FFC" w:rsidRDefault="00711FFC" w:rsidP="00711FFC">
      <w:p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Bij te voegen bij de offerte:</w:t>
      </w:r>
    </w:p>
    <w:p w:rsidR="00711FFC" w:rsidRPr="00711FFC" w:rsidRDefault="00711FFC" w:rsidP="00711FFC">
      <w:pPr>
        <w:numPr>
          <w:ilvl w:val="0"/>
          <w:numId w:val="2"/>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Identificatie, bondige omschrijving en technische documentatie van het toestel.</w:t>
      </w:r>
    </w:p>
    <w:p w:rsidR="00711FFC" w:rsidRPr="00711FFC" w:rsidRDefault="00711FFC" w:rsidP="00711FFC">
      <w:pPr>
        <w:numPr>
          <w:ilvl w:val="0"/>
          <w:numId w:val="2"/>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Een voorbeeld van de Nederlandstalige gebruiksaanwijzing.</w:t>
      </w:r>
    </w:p>
    <w:p w:rsidR="00711FFC" w:rsidRPr="00711FFC" w:rsidRDefault="00711FFC" w:rsidP="00711FFC">
      <w:pPr>
        <w:numPr>
          <w:ilvl w:val="0"/>
          <w:numId w:val="2"/>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Een voorbeeld van de nodige instructies voor de werknemers betreffende werking, onderhoud, inspectie en veiligheidsvoorzieningen in het Nederlands.</w:t>
      </w:r>
    </w:p>
    <w:p w:rsidR="00711FFC" w:rsidRPr="00711FFC" w:rsidRDefault="00711FFC" w:rsidP="00711FFC">
      <w:pPr>
        <w:numPr>
          <w:ilvl w:val="0"/>
          <w:numId w:val="2"/>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Vermelden van het geproduceerde geluidsniveau (dB).</w:t>
      </w:r>
    </w:p>
    <w:p w:rsidR="00711FFC" w:rsidRPr="00711FFC" w:rsidRDefault="00711FFC" w:rsidP="00711FFC">
      <w:pPr>
        <w:numPr>
          <w:ilvl w:val="0"/>
          <w:numId w:val="2"/>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Vermelden van het trillingsniveau (m/s²).</w:t>
      </w:r>
    </w:p>
    <w:p w:rsidR="00711FFC" w:rsidRPr="00711FFC" w:rsidRDefault="00711FFC" w:rsidP="00711FFC">
      <w:pPr>
        <w:numPr>
          <w:ilvl w:val="0"/>
          <w:numId w:val="2"/>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De VIB = Veiligheids-Informatie-Bladen (indien van toepassing) in het Nederlands van alle in/bij het apparaat gebruikte gevaarlijke stoffen of preparaten (voor werking of onderhoud) overeenkomstig de CLP-verordening.</w:t>
      </w:r>
    </w:p>
    <w:p w:rsidR="00711FFC" w:rsidRPr="00711FFC" w:rsidRDefault="00711FFC" w:rsidP="00711FFC">
      <w:pPr>
        <w:spacing w:after="0" w:line="240" w:lineRule="auto"/>
        <w:rPr>
          <w:rFonts w:ascii="Calibri" w:eastAsia="Times New Roman" w:hAnsi="Calibri" w:cs="Tahoma"/>
          <w:sz w:val="24"/>
          <w:szCs w:val="24"/>
        </w:rPr>
      </w:pPr>
    </w:p>
    <w:p w:rsidR="00711FFC" w:rsidRPr="00711FFC" w:rsidRDefault="00711FFC" w:rsidP="00711FFC">
      <w:p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Bij te voegen bij levering op kosten van de inschrijver:</w:t>
      </w:r>
    </w:p>
    <w:p w:rsidR="00711FFC" w:rsidRPr="00711FFC" w:rsidRDefault="00711FFC" w:rsidP="00711FFC">
      <w:pPr>
        <w:numPr>
          <w:ilvl w:val="0"/>
          <w:numId w:val="3"/>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lastRenderedPageBreak/>
        <w:t>Een ondertekende en gedateerde EG-verklaring van overeenstemming volgens de geldende richtlijnen type IIA voor de volledig samengebouwde machine.</w:t>
      </w:r>
    </w:p>
    <w:p w:rsidR="00711FFC" w:rsidRPr="00711FFC" w:rsidRDefault="00711FFC" w:rsidP="00711FFC">
      <w:pPr>
        <w:numPr>
          <w:ilvl w:val="0"/>
          <w:numId w:val="3"/>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De volledige handleidingen en instructies in het Nederlands voor de werknemers betreffende de werking, het gebruik, het onderhoud, de inspectie en de veiligheidsvoorzieningen.</w:t>
      </w:r>
      <w:r w:rsidRPr="00711FFC">
        <w:rPr>
          <w:rFonts w:ascii="Calibri" w:eastAsia="Times New Roman" w:hAnsi="Calibri" w:cs="Tahoma"/>
          <w:sz w:val="24"/>
          <w:szCs w:val="24"/>
        </w:rPr>
        <w:br/>
        <w:t>(in tweevoud of 1 papieren versie en 1 digitale versie)</w:t>
      </w:r>
    </w:p>
    <w:p w:rsidR="00711FFC" w:rsidRPr="00711FFC" w:rsidRDefault="00711FFC" w:rsidP="00711FFC">
      <w:pPr>
        <w:numPr>
          <w:ilvl w:val="1"/>
          <w:numId w:val="3"/>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Gebruikershandleiding</w:t>
      </w:r>
    </w:p>
    <w:p w:rsidR="00711FFC" w:rsidRPr="00711FFC" w:rsidRDefault="00711FFC" w:rsidP="00711FFC">
      <w:pPr>
        <w:numPr>
          <w:ilvl w:val="1"/>
          <w:numId w:val="3"/>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Onderhoudshandleiding van de machine</w:t>
      </w:r>
    </w:p>
    <w:p w:rsidR="00711FFC" w:rsidRPr="00711FFC" w:rsidRDefault="00711FFC" w:rsidP="00711FFC">
      <w:pPr>
        <w:numPr>
          <w:ilvl w:val="2"/>
          <w:numId w:val="3"/>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Stuklijst met onderdelen, tekeningen en onderdeelnummers</w:t>
      </w:r>
    </w:p>
    <w:p w:rsidR="00711FFC" w:rsidRPr="00711FFC" w:rsidRDefault="00711FFC" w:rsidP="00711FFC">
      <w:pPr>
        <w:numPr>
          <w:ilvl w:val="2"/>
          <w:numId w:val="3"/>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Tekeningen en technische gegevens voor herstelling en afstelling</w:t>
      </w:r>
    </w:p>
    <w:p w:rsidR="00711FFC" w:rsidRPr="00711FFC" w:rsidRDefault="00711FFC" w:rsidP="00711FFC">
      <w:pPr>
        <w:numPr>
          <w:ilvl w:val="2"/>
          <w:numId w:val="3"/>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Smeerplan met smeerfrequentie</w:t>
      </w:r>
    </w:p>
    <w:p w:rsidR="00711FFC" w:rsidRPr="00711FFC" w:rsidRDefault="00711FFC" w:rsidP="00711FFC">
      <w:pPr>
        <w:numPr>
          <w:ilvl w:val="1"/>
          <w:numId w:val="3"/>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Een lijst van de verplichte controles en keuringen met hun periodiciteit, uit te voeren door een onderhoudstechnicus, een bevoegd persoon, een bevoegde technicus of door een Externe Dienst voor Technische Controle (EDTC).</w:t>
      </w:r>
    </w:p>
    <w:p w:rsidR="00711FFC" w:rsidRPr="00711FFC" w:rsidRDefault="00711FFC" w:rsidP="00711FFC">
      <w:pPr>
        <w:numPr>
          <w:ilvl w:val="0"/>
          <w:numId w:val="3"/>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Attesten:</w:t>
      </w:r>
    </w:p>
    <w:p w:rsidR="00711FFC" w:rsidRPr="00711FFC" w:rsidRDefault="00711FFC" w:rsidP="00711FFC">
      <w:pPr>
        <w:numPr>
          <w:ilvl w:val="1"/>
          <w:numId w:val="3"/>
        </w:numPr>
        <w:spacing w:after="0" w:line="240" w:lineRule="auto"/>
        <w:contextualSpacing/>
        <w:rPr>
          <w:rFonts w:ascii="Calibri" w:eastAsia="Times New Roman" w:hAnsi="Calibri" w:cs="Tahoma"/>
          <w:sz w:val="24"/>
          <w:szCs w:val="24"/>
        </w:rPr>
      </w:pPr>
      <w:r w:rsidRPr="00711FFC">
        <w:rPr>
          <w:rFonts w:ascii="Calibri" w:eastAsia="Times New Roman" w:hAnsi="Calibri" w:cs="Tahoma"/>
          <w:sz w:val="24"/>
          <w:szCs w:val="24"/>
        </w:rPr>
        <w:t>Een verslag “Keuring voor indienststelling” van het toestel door een EDTC; de EDTC wordt gekozen door de opdrachtgever.</w:t>
      </w:r>
    </w:p>
    <w:p w:rsidR="00711FFC" w:rsidRPr="00711FFC" w:rsidRDefault="00711FFC" w:rsidP="00711FFC">
      <w:pPr>
        <w:numPr>
          <w:ilvl w:val="1"/>
          <w:numId w:val="3"/>
        </w:numPr>
        <w:spacing w:after="0" w:line="240" w:lineRule="auto"/>
        <w:rPr>
          <w:rFonts w:ascii="Calibri" w:eastAsia="Times New Roman" w:hAnsi="Calibri" w:cs="Tahoma"/>
          <w:sz w:val="24"/>
          <w:szCs w:val="24"/>
        </w:rPr>
      </w:pPr>
      <w:r w:rsidRPr="00711FFC">
        <w:rPr>
          <w:rFonts w:ascii="Calibri" w:eastAsia="Times New Roman" w:hAnsi="Calibri" w:cs="Tahoma"/>
          <w:sz w:val="24"/>
          <w:szCs w:val="24"/>
        </w:rPr>
        <w:t>De VIB = Veiligheids-Informatie-Bladen in het Nederlands van alle in/bij het apparaat gebruikte gevaarlijke stoffen of preparaten (voor werking of onderhoud) overeenkomstig de CLP-verordening. (Indien van toepassing)</w:t>
      </w:r>
    </w:p>
    <w:p w:rsidR="00711FFC" w:rsidRPr="00711FFC" w:rsidRDefault="00711FFC" w:rsidP="00711FFC">
      <w:pPr>
        <w:spacing w:after="0" w:line="240" w:lineRule="auto"/>
        <w:rPr>
          <w:rFonts w:ascii="Calibri" w:eastAsia="Times New Roman" w:hAnsi="Calibri" w:cs="Tahoma"/>
          <w:sz w:val="24"/>
          <w:szCs w:val="24"/>
        </w:rPr>
      </w:pPr>
    </w:p>
    <w:p w:rsidR="00711FFC" w:rsidRPr="00711FFC" w:rsidRDefault="00711FFC" w:rsidP="00711FFC">
      <w:pPr>
        <w:spacing w:after="0" w:line="240" w:lineRule="auto"/>
        <w:rPr>
          <w:rFonts w:ascii="Calibri" w:eastAsia="Times New Roman" w:hAnsi="Calibri" w:cs="Tahoma"/>
          <w:sz w:val="24"/>
          <w:szCs w:val="24"/>
        </w:rPr>
      </w:pPr>
      <w:proofErr w:type="spellStart"/>
      <w:r w:rsidRPr="00711FFC">
        <w:rPr>
          <w:rFonts w:ascii="Calibri" w:eastAsia="Times New Roman" w:hAnsi="Calibri" w:cs="Times New Roman"/>
          <w:b/>
          <w:sz w:val="24"/>
          <w:szCs w:val="24"/>
          <w:u w:val="single"/>
          <w:lang w:val="en-GB"/>
        </w:rPr>
        <w:t>Opleiding</w:t>
      </w:r>
      <w:proofErr w:type="spellEnd"/>
      <w:r w:rsidRPr="00711FFC">
        <w:rPr>
          <w:rFonts w:ascii="Calibri" w:eastAsia="Times New Roman" w:hAnsi="Calibri" w:cs="Times New Roman"/>
          <w:b/>
          <w:sz w:val="24"/>
          <w:szCs w:val="24"/>
          <w:u w:val="single"/>
          <w:lang w:val="en-GB"/>
        </w:rPr>
        <w:t xml:space="preserve"> in het </w:t>
      </w:r>
      <w:proofErr w:type="spellStart"/>
      <w:r w:rsidRPr="00711FFC">
        <w:rPr>
          <w:rFonts w:ascii="Calibri" w:eastAsia="Times New Roman" w:hAnsi="Calibri" w:cs="Times New Roman"/>
          <w:b/>
          <w:sz w:val="24"/>
          <w:szCs w:val="24"/>
          <w:u w:val="single"/>
          <w:lang w:val="en-GB"/>
        </w:rPr>
        <w:t>gebruik</w:t>
      </w:r>
      <w:proofErr w:type="spellEnd"/>
      <w:r w:rsidRPr="00711FFC">
        <w:rPr>
          <w:rFonts w:ascii="Calibri" w:eastAsia="Times New Roman" w:hAnsi="Calibri" w:cs="Times New Roman"/>
          <w:b/>
          <w:sz w:val="24"/>
          <w:szCs w:val="24"/>
          <w:u w:val="single"/>
          <w:lang w:val="en-GB"/>
        </w:rPr>
        <w:t xml:space="preserve"> en </w:t>
      </w:r>
      <w:proofErr w:type="spellStart"/>
      <w:r w:rsidRPr="00711FFC">
        <w:rPr>
          <w:rFonts w:ascii="Calibri" w:eastAsia="Times New Roman" w:hAnsi="Calibri" w:cs="Times New Roman"/>
          <w:b/>
          <w:sz w:val="24"/>
          <w:szCs w:val="24"/>
          <w:u w:val="single"/>
          <w:lang w:val="en-GB"/>
        </w:rPr>
        <w:t>onderhoud</w:t>
      </w:r>
      <w:proofErr w:type="spellEnd"/>
      <w:r w:rsidRPr="00711FFC">
        <w:rPr>
          <w:rFonts w:ascii="Calibri" w:eastAsia="Times New Roman" w:hAnsi="Calibri" w:cs="Times New Roman"/>
          <w:b/>
          <w:sz w:val="24"/>
          <w:szCs w:val="24"/>
          <w:u w:val="single"/>
          <w:lang w:val="en-GB"/>
        </w:rPr>
        <w:t xml:space="preserve"> van de machine</w:t>
      </w:r>
    </w:p>
    <w:p w:rsidR="00711FFC" w:rsidRPr="00711FFC" w:rsidRDefault="00711FFC" w:rsidP="00711FFC">
      <w:pPr>
        <w:spacing w:after="0" w:line="240" w:lineRule="auto"/>
        <w:rPr>
          <w:rFonts w:ascii="Calibri" w:eastAsia="Times New Roman" w:hAnsi="Calibri" w:cs="Tahoma"/>
          <w:sz w:val="24"/>
          <w:szCs w:val="24"/>
        </w:rPr>
      </w:pPr>
    </w:p>
    <w:p w:rsidR="00711FFC" w:rsidRPr="00711FFC" w:rsidRDefault="00711FFC" w:rsidP="00711FFC">
      <w:pPr>
        <w:spacing w:after="0" w:line="240" w:lineRule="auto"/>
        <w:contextualSpacing/>
        <w:rPr>
          <w:rFonts w:ascii="Calibri" w:eastAsia="Times New Roman" w:hAnsi="Calibri" w:cs="Times New Roman"/>
          <w:sz w:val="24"/>
          <w:szCs w:val="24"/>
          <w:lang w:val="nl-NL" w:eastAsia="nl-NL"/>
        </w:rPr>
      </w:pPr>
      <w:r w:rsidRPr="00711FFC">
        <w:rPr>
          <w:rFonts w:ascii="Calibri" w:eastAsia="Times New Roman" w:hAnsi="Calibri" w:cs="Times New Roman"/>
          <w:sz w:val="24"/>
          <w:szCs w:val="24"/>
          <w:lang w:val="nl-NL" w:eastAsia="nl-NL"/>
        </w:rPr>
        <w:t>De scholing voor de gebruikers en de onderhoudsmekaniekers wordt ter plaatse gegeven op afspraak in overleg met de opdrachtgever.</w:t>
      </w:r>
    </w:p>
    <w:p w:rsidR="00711FFC" w:rsidRPr="00711FFC" w:rsidRDefault="00711FFC" w:rsidP="00711FFC">
      <w:pPr>
        <w:numPr>
          <w:ilvl w:val="0"/>
          <w:numId w:val="4"/>
        </w:numPr>
        <w:spacing w:after="0" w:line="276" w:lineRule="auto"/>
        <w:contextualSpacing/>
        <w:rPr>
          <w:rFonts w:ascii="Calibri" w:eastAsia="Times New Roman" w:hAnsi="Calibri" w:cs="Times New Roman"/>
          <w:sz w:val="24"/>
          <w:szCs w:val="24"/>
          <w:lang w:val="nl-NL" w:eastAsia="nl-NL"/>
        </w:rPr>
      </w:pPr>
      <w:r w:rsidRPr="00711FFC">
        <w:rPr>
          <w:rFonts w:ascii="Calibri" w:eastAsia="Times New Roman" w:hAnsi="Calibri" w:cs="Times New Roman"/>
          <w:sz w:val="24"/>
          <w:szCs w:val="24"/>
          <w:lang w:val="nl-NL" w:eastAsia="nl-NL"/>
        </w:rPr>
        <w:t>Opleiding van 2 uur betreffende gebruik, inspectie, onderhoud, risico’s en veiligheid.</w:t>
      </w:r>
    </w:p>
    <w:p w:rsidR="00711FFC" w:rsidRPr="00711FFC" w:rsidRDefault="00711FFC" w:rsidP="00711FFC">
      <w:pPr>
        <w:numPr>
          <w:ilvl w:val="0"/>
          <w:numId w:val="4"/>
        </w:numPr>
        <w:spacing w:after="0" w:line="276" w:lineRule="auto"/>
        <w:contextualSpacing/>
        <w:rPr>
          <w:rFonts w:ascii="Calibri" w:eastAsia="Times New Roman" w:hAnsi="Calibri" w:cs="Times New Roman"/>
          <w:sz w:val="24"/>
          <w:szCs w:val="24"/>
          <w:lang w:val="nl-NL" w:eastAsia="nl-NL"/>
        </w:rPr>
      </w:pPr>
      <w:r w:rsidRPr="00711FFC">
        <w:rPr>
          <w:rFonts w:ascii="Calibri" w:eastAsia="Times New Roman" w:hAnsi="Calibri" w:cs="Times New Roman"/>
          <w:sz w:val="24"/>
          <w:szCs w:val="24"/>
          <w:lang w:val="nl-NL" w:eastAsia="nl-NL"/>
        </w:rPr>
        <w:t>Een recyclageopleiding van 1 uur na 6 maand ingebruikname.</w:t>
      </w:r>
    </w:p>
    <w:p w:rsidR="00565C7A" w:rsidRDefault="00796EEA"/>
    <w:sectPr w:rsidR="0056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Calligr BT">
    <w:altName w:val="Palatino Linotype"/>
    <w:charset w:val="00"/>
    <w:family w:val="roman"/>
    <w:pitch w:val="variable"/>
    <w:sig w:usb0="00000001" w:usb1="0000004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5957"/>
    <w:multiLevelType w:val="hybridMultilevel"/>
    <w:tmpl w:val="644294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1F8A1D66"/>
    <w:multiLevelType w:val="hybridMultilevel"/>
    <w:tmpl w:val="1B32AE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65023AB4"/>
    <w:multiLevelType w:val="hybridMultilevel"/>
    <w:tmpl w:val="9B28C6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76BC6BAE"/>
    <w:multiLevelType w:val="hybridMultilevel"/>
    <w:tmpl w:val="041CEC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FC"/>
    <w:rsid w:val="00446CD4"/>
    <w:rsid w:val="005600D9"/>
    <w:rsid w:val="00711FFC"/>
    <w:rsid w:val="00796E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5099</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2019-10-25T09:40:00Z</dcterms:created>
  <dcterms:modified xsi:type="dcterms:W3CDTF">2019-10-25T09:40:00Z</dcterms:modified>
</cp:coreProperties>
</file>