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1F" w:rsidRPr="008A42EF" w:rsidRDefault="0086521F" w:rsidP="0086521F">
      <w:pPr>
        <w:pStyle w:val="Kop1"/>
        <w:keepNext w:val="0"/>
        <w:numPr>
          <w:ilvl w:val="0"/>
          <w:numId w:val="2"/>
        </w:numPr>
      </w:pPr>
      <w:bookmarkStart w:id="0" w:name="_Toc150251574"/>
      <w:bookmarkStart w:id="1" w:name="_Toc5181958"/>
      <w:bookmarkStart w:id="2" w:name="_GoBack"/>
      <w:bookmarkEnd w:id="2"/>
      <w:r w:rsidRPr="008A42EF">
        <w:t>Technische bepalingen</w:t>
      </w:r>
      <w:bookmarkEnd w:id="0"/>
      <w:bookmarkEnd w:id="1"/>
    </w:p>
    <w:p w:rsidR="0086521F" w:rsidRPr="008A42EF" w:rsidRDefault="0086521F" w:rsidP="0086521F">
      <w:pPr>
        <w:rPr>
          <w:lang w:val="nl-BE"/>
        </w:rPr>
      </w:pPr>
    </w:p>
    <w:p w:rsidR="0086521F" w:rsidRPr="008A42EF" w:rsidRDefault="0086521F" w:rsidP="0086521F">
      <w:pPr>
        <w:rPr>
          <w:lang w:val="nl-BE"/>
        </w:rPr>
      </w:pPr>
    </w:p>
    <w:p w:rsidR="0086521F" w:rsidRDefault="0086521F" w:rsidP="0086521F">
      <w:r>
        <w:rPr>
          <w:rFonts w:eastAsia="Tahoma" w:cs="Tahoma"/>
          <w:b/>
          <w:bCs/>
          <w:lang w:val="nl-BE" w:eastAsia="nl-BE"/>
        </w:rPr>
        <w:t xml:space="preserve">1. </w:t>
      </w:r>
      <w:r>
        <w:rPr>
          <w:rFonts w:eastAsia="Tahoma" w:cs="Tahoma"/>
          <w:lang w:val="nl-BE" w:eastAsia="nl-BE"/>
        </w:rPr>
        <w:t xml:space="preserve">: </w:t>
      </w:r>
      <w:r>
        <w:rPr>
          <w:rFonts w:eastAsia="Tahoma" w:cs="Tahoma"/>
          <w:u w:val="single"/>
          <w:lang w:val="nl-BE" w:eastAsia="nl-BE"/>
        </w:rPr>
        <w:t>Gebroken betonpuin 0/40 gebracht door leverancier</w:t>
      </w:r>
      <w:r>
        <w:rPr>
          <w:rFonts w:eastAsia="Tahoma" w:cs="Tahoma"/>
          <w:u w:val="single"/>
          <w:lang w:val="nl-BE" w:eastAsia="nl-BE"/>
        </w:rPr>
        <w:br/>
      </w:r>
      <w:r>
        <w:rPr>
          <w:rFonts w:eastAsia="Tahoma" w:cs="Tahoma"/>
          <w:lang w:val="nl-BE" w:eastAsia="nl-BE"/>
        </w:rPr>
        <w:t>Hoeveelheid: 100,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2. </w:t>
      </w:r>
      <w:r>
        <w:rPr>
          <w:rFonts w:eastAsia="Tahoma" w:cs="Tahoma"/>
          <w:lang w:val="nl-BE" w:eastAsia="nl-BE"/>
        </w:rPr>
        <w:t xml:space="preserve">: </w:t>
      </w:r>
      <w:r>
        <w:rPr>
          <w:rFonts w:eastAsia="Tahoma" w:cs="Tahoma"/>
          <w:u w:val="single"/>
          <w:lang w:val="nl-BE" w:eastAsia="nl-BE"/>
        </w:rPr>
        <w:t>Gebroken betonpuin 0/20 gebracht door leverancier</w:t>
      </w:r>
      <w:r>
        <w:rPr>
          <w:rFonts w:eastAsia="Tahoma" w:cs="Tahoma"/>
          <w:u w:val="single"/>
          <w:lang w:val="nl-BE" w:eastAsia="nl-BE"/>
        </w:rPr>
        <w:br/>
      </w:r>
      <w:r>
        <w:rPr>
          <w:rFonts w:eastAsia="Tahoma" w:cs="Tahoma"/>
          <w:lang w:val="nl-BE" w:eastAsia="nl-BE"/>
        </w:rPr>
        <w:t>Hoeveelheid: 100,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3. </w:t>
      </w:r>
      <w:r>
        <w:rPr>
          <w:rFonts w:eastAsia="Tahoma" w:cs="Tahoma"/>
          <w:lang w:val="nl-BE" w:eastAsia="nl-BE"/>
        </w:rPr>
        <w:t xml:space="preserve">: </w:t>
      </w:r>
      <w:r>
        <w:rPr>
          <w:rFonts w:eastAsia="Tahoma" w:cs="Tahoma"/>
          <w:u w:val="single"/>
          <w:lang w:val="nl-BE" w:eastAsia="nl-BE"/>
        </w:rPr>
        <w:t>Gebroken betonpuin 0/40 gehaald door het bestuur</w:t>
      </w:r>
      <w:r>
        <w:rPr>
          <w:rFonts w:eastAsia="Tahoma" w:cs="Tahoma"/>
          <w:u w:val="single"/>
          <w:lang w:val="nl-BE" w:eastAsia="nl-BE"/>
        </w:rPr>
        <w:br/>
      </w:r>
      <w:r>
        <w:rPr>
          <w:rFonts w:eastAsia="Tahoma" w:cs="Tahoma"/>
          <w:lang w:val="nl-BE" w:eastAsia="nl-BE"/>
        </w:rPr>
        <w:t>Hoeveelheid: 2500,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4. </w:t>
      </w:r>
      <w:r>
        <w:rPr>
          <w:rFonts w:eastAsia="Tahoma" w:cs="Tahoma"/>
          <w:lang w:val="nl-BE" w:eastAsia="nl-BE"/>
        </w:rPr>
        <w:t xml:space="preserve">: </w:t>
      </w:r>
      <w:r>
        <w:rPr>
          <w:rFonts w:eastAsia="Tahoma" w:cs="Tahoma"/>
          <w:u w:val="single"/>
          <w:lang w:val="nl-BE" w:eastAsia="nl-BE"/>
        </w:rPr>
        <w:t>Gebroken betonpuin 0/20 gehaald door het bestuur</w:t>
      </w:r>
      <w:r>
        <w:rPr>
          <w:rFonts w:eastAsia="Tahoma" w:cs="Tahoma"/>
          <w:u w:val="single"/>
          <w:lang w:val="nl-BE" w:eastAsia="nl-BE"/>
        </w:rPr>
        <w:br/>
      </w:r>
      <w:r>
        <w:rPr>
          <w:rFonts w:eastAsia="Tahoma" w:cs="Tahoma"/>
          <w:lang w:val="nl-BE" w:eastAsia="nl-BE"/>
        </w:rPr>
        <w:t>Hoeveelheid: 250,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5. </w:t>
      </w:r>
      <w:r>
        <w:rPr>
          <w:rFonts w:eastAsia="Tahoma" w:cs="Tahoma"/>
          <w:lang w:val="nl-BE" w:eastAsia="nl-BE"/>
        </w:rPr>
        <w:t xml:space="preserve">: </w:t>
      </w:r>
      <w:r>
        <w:rPr>
          <w:rFonts w:eastAsia="Tahoma" w:cs="Tahoma"/>
          <w:u w:val="single"/>
          <w:lang w:val="nl-BE" w:eastAsia="nl-BE"/>
        </w:rPr>
        <w:t>Gebroken mengpuin 0/40 gebracht door leverancier</w:t>
      </w:r>
      <w:r>
        <w:rPr>
          <w:rFonts w:eastAsia="Tahoma" w:cs="Tahoma"/>
          <w:u w:val="single"/>
          <w:lang w:val="nl-BE" w:eastAsia="nl-BE"/>
        </w:rPr>
        <w:br/>
      </w:r>
      <w:r>
        <w:rPr>
          <w:rFonts w:eastAsia="Tahoma" w:cs="Tahoma"/>
          <w:lang w:val="nl-BE" w:eastAsia="nl-BE"/>
        </w:rPr>
        <w:t>Hoeveelheid: 250,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6. </w:t>
      </w:r>
      <w:r>
        <w:rPr>
          <w:rFonts w:eastAsia="Tahoma" w:cs="Tahoma"/>
          <w:lang w:val="nl-BE" w:eastAsia="nl-BE"/>
        </w:rPr>
        <w:t xml:space="preserve">: </w:t>
      </w:r>
      <w:r>
        <w:rPr>
          <w:rFonts w:eastAsia="Tahoma" w:cs="Tahoma"/>
          <w:u w:val="single"/>
          <w:lang w:val="nl-BE" w:eastAsia="nl-BE"/>
        </w:rPr>
        <w:t>Gebroken mengpuin 0/40 gehaald door het bestuur</w:t>
      </w:r>
      <w:r>
        <w:rPr>
          <w:rFonts w:eastAsia="Tahoma" w:cs="Tahoma"/>
          <w:u w:val="single"/>
          <w:lang w:val="nl-BE" w:eastAsia="nl-BE"/>
        </w:rPr>
        <w:br/>
      </w:r>
      <w:r>
        <w:rPr>
          <w:rFonts w:eastAsia="Tahoma" w:cs="Tahoma"/>
          <w:lang w:val="nl-BE" w:eastAsia="nl-BE"/>
        </w:rPr>
        <w:t>Hoeveelheid: 750,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7. </w:t>
      </w:r>
      <w:r>
        <w:rPr>
          <w:rFonts w:eastAsia="Tahoma" w:cs="Tahoma"/>
          <w:lang w:val="nl-BE" w:eastAsia="nl-BE"/>
        </w:rPr>
        <w:t xml:space="preserve">: </w:t>
      </w:r>
      <w:r>
        <w:rPr>
          <w:rFonts w:eastAsia="Tahoma" w:cs="Tahoma"/>
          <w:u w:val="single"/>
          <w:lang w:val="nl-BE" w:eastAsia="nl-BE"/>
        </w:rPr>
        <w:t>Aanvaarding en verwerking opbraak KWS met hoog milieurisico geleverd door het bestuur</w:t>
      </w:r>
      <w:r>
        <w:rPr>
          <w:rFonts w:eastAsia="Tahoma" w:cs="Tahoma"/>
          <w:u w:val="single"/>
          <w:lang w:val="nl-BE" w:eastAsia="nl-BE"/>
        </w:rPr>
        <w:br/>
      </w:r>
      <w:r>
        <w:rPr>
          <w:rFonts w:eastAsia="Tahoma" w:cs="Tahoma"/>
          <w:lang w:val="nl-BE" w:eastAsia="nl-BE"/>
        </w:rPr>
        <w:t>Hoeveelheid: 1000,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8. </w:t>
      </w:r>
      <w:r>
        <w:rPr>
          <w:rFonts w:eastAsia="Tahoma" w:cs="Tahoma"/>
          <w:lang w:val="nl-BE" w:eastAsia="nl-BE"/>
        </w:rPr>
        <w:t xml:space="preserve">: </w:t>
      </w:r>
      <w:r>
        <w:rPr>
          <w:rFonts w:eastAsia="Tahoma" w:cs="Tahoma"/>
          <w:u w:val="single"/>
          <w:lang w:val="nl-BE" w:eastAsia="nl-BE"/>
        </w:rPr>
        <w:t>Aanvaarding en verwerking opbraak KWS met laag milieurisico geleverd door het bestuur</w:t>
      </w:r>
      <w:r>
        <w:rPr>
          <w:rFonts w:eastAsia="Tahoma" w:cs="Tahoma"/>
          <w:u w:val="single"/>
          <w:lang w:val="nl-BE" w:eastAsia="nl-BE"/>
        </w:rPr>
        <w:br/>
      </w:r>
      <w:r>
        <w:rPr>
          <w:rFonts w:eastAsia="Tahoma" w:cs="Tahoma"/>
          <w:lang w:val="nl-BE" w:eastAsia="nl-BE"/>
        </w:rPr>
        <w:t>Hoeveelheid: 300, Eenheid: ton - VH</w:t>
      </w:r>
    </w:p>
    <w:p w:rsidR="0086521F" w:rsidRDefault="0086521F" w:rsidP="0086521F">
      <w:pPr>
        <w:rPr>
          <w:szCs w:val="20"/>
          <w:lang w:val="nl-BE" w:eastAsia="nl-BE"/>
        </w:rPr>
      </w:pPr>
    </w:p>
    <w:p w:rsidR="0086521F" w:rsidRDefault="0086521F" w:rsidP="0086521F">
      <w:pPr>
        <w:rPr>
          <w:szCs w:val="20"/>
          <w:lang w:val="nl-BE" w:eastAsia="nl-BE"/>
        </w:rPr>
      </w:pPr>
      <w:r>
        <w:rPr>
          <w:rFonts w:eastAsia="Tahoma" w:cs="Tahoma"/>
          <w:b/>
          <w:bCs/>
          <w:lang w:val="nl-BE" w:eastAsia="nl-BE"/>
        </w:rPr>
        <w:t xml:space="preserve">9. </w:t>
      </w:r>
      <w:r>
        <w:rPr>
          <w:rFonts w:eastAsia="Tahoma" w:cs="Tahoma"/>
          <w:lang w:val="nl-BE" w:eastAsia="nl-BE"/>
        </w:rPr>
        <w:t xml:space="preserve">: </w:t>
      </w:r>
      <w:r>
        <w:rPr>
          <w:rFonts w:eastAsia="Tahoma" w:cs="Tahoma"/>
          <w:u w:val="single"/>
          <w:lang w:val="nl-BE" w:eastAsia="nl-BE"/>
        </w:rPr>
        <w:t>Aanvaarding en verwerking opbraak beton met hoog milieurisico geleverd door het bestuur</w:t>
      </w:r>
      <w:r>
        <w:rPr>
          <w:rFonts w:eastAsia="Tahoma" w:cs="Tahoma"/>
          <w:u w:val="single"/>
          <w:lang w:val="nl-BE" w:eastAsia="nl-BE"/>
        </w:rPr>
        <w:br/>
      </w:r>
      <w:r>
        <w:rPr>
          <w:rFonts w:eastAsia="Tahoma" w:cs="Tahoma"/>
          <w:lang w:val="nl-BE" w:eastAsia="nl-BE"/>
        </w:rPr>
        <w:t>Hoeveelheid: 1000, Eenheid: ton - VH</w:t>
      </w:r>
    </w:p>
    <w:p w:rsidR="0086521F" w:rsidRDefault="0086521F" w:rsidP="0086521F">
      <w:pPr>
        <w:rPr>
          <w:szCs w:val="20"/>
          <w:lang w:val="nl-BE" w:eastAsia="nl-BE"/>
        </w:rPr>
      </w:pPr>
    </w:p>
    <w:p w:rsidR="0086521F" w:rsidRDefault="0086521F" w:rsidP="0086521F">
      <w:pPr>
        <w:rPr>
          <w:rFonts w:eastAsia="Tahoma" w:cs="Tahoma"/>
          <w:lang w:val="nl-BE" w:eastAsia="nl-BE"/>
        </w:rPr>
      </w:pPr>
      <w:r>
        <w:rPr>
          <w:rFonts w:eastAsia="Tahoma" w:cs="Tahoma"/>
          <w:b/>
          <w:bCs/>
          <w:lang w:val="nl-BE" w:eastAsia="nl-BE"/>
        </w:rPr>
        <w:t xml:space="preserve">10. </w:t>
      </w:r>
      <w:r>
        <w:rPr>
          <w:rFonts w:eastAsia="Tahoma" w:cs="Tahoma"/>
          <w:lang w:val="nl-BE" w:eastAsia="nl-BE"/>
        </w:rPr>
        <w:t xml:space="preserve">: </w:t>
      </w:r>
      <w:r>
        <w:rPr>
          <w:rFonts w:eastAsia="Tahoma" w:cs="Tahoma"/>
          <w:u w:val="single"/>
          <w:lang w:val="nl-BE" w:eastAsia="nl-BE"/>
        </w:rPr>
        <w:t>Aanvaarding en verwerking opbraak beton met laag milieurisico geleverd door het bestuur</w:t>
      </w:r>
      <w:r>
        <w:rPr>
          <w:rFonts w:eastAsia="Tahoma" w:cs="Tahoma"/>
          <w:u w:val="single"/>
          <w:lang w:val="nl-BE" w:eastAsia="nl-BE"/>
        </w:rPr>
        <w:br/>
      </w:r>
      <w:r>
        <w:rPr>
          <w:rFonts w:eastAsia="Tahoma" w:cs="Tahoma"/>
          <w:lang w:val="nl-BE" w:eastAsia="nl-BE"/>
        </w:rPr>
        <w:t>Hoeveelheid: 300, Eenheid: ton – VH</w:t>
      </w:r>
    </w:p>
    <w:p w:rsidR="0086521F" w:rsidRDefault="0086521F" w:rsidP="0086521F">
      <w:pPr>
        <w:rPr>
          <w:rFonts w:eastAsia="Tahoma" w:cs="Tahoma"/>
          <w:lang w:val="nl-BE" w:eastAsia="nl-BE"/>
        </w:rPr>
      </w:pPr>
    </w:p>
    <w:p w:rsidR="0086521F" w:rsidRDefault="0086521F" w:rsidP="0086521F">
      <w:pPr>
        <w:rPr>
          <w:rFonts w:eastAsia="Tahoma" w:cs="Tahoma"/>
          <w:lang w:val="nl-BE" w:eastAsia="nl-BE"/>
        </w:rPr>
      </w:pPr>
    </w:p>
    <w:p w:rsidR="0086521F" w:rsidRDefault="0086521F" w:rsidP="0086521F">
      <w:pPr>
        <w:jc w:val="both"/>
        <w:rPr>
          <w:rFonts w:cs="Tahoma"/>
          <w:b/>
          <w:i/>
          <w:szCs w:val="20"/>
          <w:u w:val="single"/>
          <w:lang w:val="nl-BE"/>
        </w:rPr>
      </w:pPr>
      <w:r>
        <w:rPr>
          <w:rFonts w:cs="Tahoma"/>
          <w:b/>
          <w:i/>
          <w:szCs w:val="20"/>
          <w:u w:val="single"/>
          <w:lang w:val="nl-BE"/>
        </w:rPr>
        <w:t>Voorafgaande opmerking:</w:t>
      </w:r>
    </w:p>
    <w:p w:rsidR="0086521F" w:rsidRDefault="0086521F" w:rsidP="0086521F">
      <w:pPr>
        <w:jc w:val="both"/>
        <w:rPr>
          <w:rFonts w:cs="Tahoma"/>
          <w:szCs w:val="20"/>
          <w:lang w:val="nl-BE"/>
        </w:rPr>
      </w:pPr>
      <w:r>
        <w:rPr>
          <w:rFonts w:cs="Tahoma"/>
          <w:szCs w:val="20"/>
          <w:lang w:val="nl-BE"/>
        </w:rPr>
        <w:t>De in dit bestek voorziene producten dienen in principe door de leverancier geleverd te worden op verschillende werven binnen de grenzen van de stad Genk.</w:t>
      </w:r>
    </w:p>
    <w:p w:rsidR="0086521F" w:rsidRDefault="0086521F" w:rsidP="0086521F">
      <w:pPr>
        <w:jc w:val="both"/>
        <w:rPr>
          <w:rFonts w:cs="Tahoma"/>
          <w:szCs w:val="20"/>
          <w:lang w:val="nl-BE"/>
        </w:rPr>
      </w:pPr>
      <w:r>
        <w:rPr>
          <w:rFonts w:cs="Tahoma"/>
          <w:szCs w:val="20"/>
          <w:lang w:val="nl-BE"/>
        </w:rPr>
        <w:t>Evenwel zal het puin gedeeltelijk door het bestuur afgehaald worden op de werven van de leverancier.</w:t>
      </w:r>
    </w:p>
    <w:p w:rsidR="0086521F" w:rsidRDefault="0086521F" w:rsidP="0086521F">
      <w:pPr>
        <w:jc w:val="both"/>
        <w:rPr>
          <w:rFonts w:cs="Tahoma"/>
          <w:szCs w:val="20"/>
          <w:lang w:val="nl-BE"/>
        </w:rPr>
      </w:pPr>
      <w:r>
        <w:rPr>
          <w:rFonts w:cs="Tahoma"/>
          <w:szCs w:val="20"/>
          <w:lang w:val="nl-BE"/>
        </w:rPr>
        <w:t>In de opmeting zijn de onderscheiden geraamde hoeveelheden opgenomen.</w:t>
      </w:r>
    </w:p>
    <w:p w:rsidR="0086521F" w:rsidRDefault="0086521F" w:rsidP="0086521F">
      <w:pPr>
        <w:jc w:val="both"/>
        <w:rPr>
          <w:rFonts w:cs="Tahoma"/>
          <w:szCs w:val="20"/>
          <w:lang w:val="nl-BE"/>
        </w:rPr>
      </w:pPr>
      <w:r>
        <w:rPr>
          <w:rFonts w:cs="Tahoma"/>
          <w:szCs w:val="20"/>
          <w:lang w:val="nl-BE"/>
        </w:rPr>
        <w:t>Om rekening te kunnen houden met het verschil in afstand zal de inschrijver op het inschrijvingsbiljet duidelijk de plaats van zijn werf vermelden, alsook de afstand van deze werf tot Genk centrum (stadhuis).</w:t>
      </w:r>
    </w:p>
    <w:p w:rsidR="0086521F" w:rsidRDefault="0086521F" w:rsidP="0086521F">
      <w:pPr>
        <w:jc w:val="both"/>
        <w:rPr>
          <w:rFonts w:cs="Tahoma"/>
          <w:szCs w:val="20"/>
          <w:lang w:val="nl-BE"/>
        </w:rPr>
      </w:pPr>
      <w:r>
        <w:rPr>
          <w:rFonts w:cs="Tahoma"/>
          <w:szCs w:val="20"/>
          <w:lang w:val="nl-BE"/>
        </w:rPr>
        <w:t>Bij de prijsvergelijking zal met de afstand rekening gehouden worden à rato van € 0,07/ton/km.</w:t>
      </w:r>
    </w:p>
    <w:p w:rsidR="0086521F" w:rsidRDefault="0086521F" w:rsidP="0086521F">
      <w:pPr>
        <w:jc w:val="both"/>
        <w:rPr>
          <w:rFonts w:cs="Tahoma"/>
          <w:szCs w:val="20"/>
          <w:lang w:val="nl-BE"/>
        </w:rPr>
      </w:pPr>
      <w:r>
        <w:rPr>
          <w:rFonts w:cs="Tahoma"/>
          <w:szCs w:val="20"/>
          <w:lang w:val="nl-BE"/>
        </w:rPr>
        <w:t>Indien tijdens de uitvoering van de opdracht door de leverancier een andere werf wordt aangeduid als opgegeven op het inschrijvingsbiljet, zullen de eventuele supplementaire kosten aan de leverancier aangerekend worden à rato van € 0,07/ton/km.</w:t>
      </w:r>
    </w:p>
    <w:p w:rsidR="0086521F" w:rsidRDefault="0086521F" w:rsidP="0086521F">
      <w:pPr>
        <w:jc w:val="both"/>
        <w:rPr>
          <w:rFonts w:cs="Tahoma"/>
          <w:szCs w:val="20"/>
          <w:lang w:val="nl-BE"/>
        </w:rPr>
      </w:pPr>
      <w:r>
        <w:rPr>
          <w:rFonts w:cs="Tahoma"/>
          <w:szCs w:val="20"/>
          <w:lang w:val="nl-BE"/>
        </w:rPr>
        <w:lastRenderedPageBreak/>
        <w:t>De leverancier zal tevens beschikken over een weegbrug om de vrachtwagens te wegen. Elke afleveringsbon zal steeds het leeg gewicht van de geladen vrachtwagen vermelden.</w:t>
      </w:r>
    </w:p>
    <w:p w:rsidR="0086521F" w:rsidRDefault="0086521F" w:rsidP="0086521F">
      <w:pPr>
        <w:rPr>
          <w:rFonts w:cs="Tahoma"/>
          <w:b/>
          <w:i/>
          <w:szCs w:val="20"/>
          <w:u w:val="single"/>
          <w:lang w:val="nl-BE"/>
        </w:rPr>
      </w:pPr>
    </w:p>
    <w:p w:rsidR="0086521F" w:rsidRDefault="0086521F" w:rsidP="0086521F">
      <w:pPr>
        <w:rPr>
          <w:rFonts w:cs="Tahoma"/>
          <w:b/>
          <w:i/>
          <w:szCs w:val="20"/>
          <w:u w:val="single"/>
          <w:lang w:val="nl-BE"/>
        </w:rPr>
      </w:pPr>
      <w:r>
        <w:rPr>
          <w:rFonts w:cs="Tahoma"/>
          <w:b/>
          <w:i/>
          <w:szCs w:val="20"/>
          <w:u w:val="single"/>
          <w:lang w:val="nl-BE"/>
        </w:rPr>
        <w:t>Opdracht:</w:t>
      </w:r>
    </w:p>
    <w:p w:rsidR="0086521F" w:rsidRDefault="0086521F" w:rsidP="0086521F">
      <w:pPr>
        <w:jc w:val="both"/>
        <w:rPr>
          <w:rFonts w:cs="Tahoma"/>
          <w:szCs w:val="20"/>
          <w:lang w:val="nl-BE"/>
        </w:rPr>
      </w:pPr>
      <w:r>
        <w:rPr>
          <w:rFonts w:cs="Tahoma"/>
          <w:szCs w:val="20"/>
          <w:lang w:val="nl-BE"/>
        </w:rPr>
        <w:t>De opdracht omvat naast de levering van puin eveneens de aanvaarding van betonproducten en K.W.S., afkomstig van de afbraak, in eigen beheer, van wegverhardingen (type warmbereide bitumineuze mengsels). Vermoedelijke K.W.S. opbraak hoog milieurisico: +- 1000 ton en laag milieurisico: +- 300 ton; betonopbraak hoog milieurisico +- 1000 ton en laag milieurisico: +- 300 ton.</w:t>
      </w:r>
    </w:p>
    <w:p w:rsidR="0086521F" w:rsidRDefault="0086521F" w:rsidP="0086521F">
      <w:pPr>
        <w:rPr>
          <w:rFonts w:cs="Tahoma"/>
          <w:szCs w:val="20"/>
          <w:lang w:val="nl-BE"/>
        </w:rPr>
      </w:pPr>
    </w:p>
    <w:p w:rsidR="0086521F" w:rsidRDefault="0086521F" w:rsidP="0086521F">
      <w:pPr>
        <w:rPr>
          <w:rFonts w:cs="Tahoma"/>
          <w:szCs w:val="20"/>
          <w:lang w:val="nl-BE"/>
        </w:rPr>
      </w:pPr>
      <w:r>
        <w:rPr>
          <w:rFonts w:cs="Tahoma"/>
          <w:szCs w:val="20"/>
          <w:lang w:val="nl-BE"/>
        </w:rPr>
        <w:t>Gebroken betonpuin afkomstig van breekinstallatie die beschikt over een COPRO-keuring volgens III.7.1.1.1.</w:t>
      </w:r>
    </w:p>
    <w:p w:rsidR="0086521F" w:rsidRDefault="0086521F" w:rsidP="0086521F">
      <w:pPr>
        <w:numPr>
          <w:ilvl w:val="0"/>
          <w:numId w:val="3"/>
        </w:numPr>
        <w:rPr>
          <w:rFonts w:cs="Tahoma"/>
          <w:szCs w:val="20"/>
          <w:lang w:val="nl-BE"/>
        </w:rPr>
      </w:pPr>
      <w:r>
        <w:rPr>
          <w:rFonts w:cs="Tahoma"/>
          <w:szCs w:val="20"/>
          <w:lang w:val="nl-BE"/>
        </w:rPr>
        <w:t>gebroken betonpuin (Standaardbestek 250 versie 3.1.) door leverancier gebracht</w:t>
      </w:r>
    </w:p>
    <w:p w:rsidR="0086521F" w:rsidRDefault="0086521F" w:rsidP="0086521F">
      <w:pPr>
        <w:numPr>
          <w:ilvl w:val="2"/>
          <w:numId w:val="3"/>
        </w:numPr>
        <w:rPr>
          <w:rFonts w:cs="Tahoma"/>
          <w:szCs w:val="20"/>
          <w:lang w:val="nl-BE"/>
        </w:rPr>
      </w:pPr>
      <w:r>
        <w:rPr>
          <w:rFonts w:cs="Tahoma"/>
          <w:szCs w:val="20"/>
          <w:lang w:val="nl-BE"/>
        </w:rPr>
        <w:t>gebroken betonpuin 0/40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 xml:space="preserve">   100</w:t>
      </w:r>
      <w:r>
        <w:rPr>
          <w:rFonts w:cs="Tahoma"/>
          <w:szCs w:val="20"/>
          <w:lang w:val="nl-BE"/>
        </w:rPr>
        <w:tab/>
        <w:t>ton</w:t>
      </w:r>
    </w:p>
    <w:p w:rsidR="0086521F" w:rsidRDefault="0086521F" w:rsidP="0086521F">
      <w:pPr>
        <w:numPr>
          <w:ilvl w:val="2"/>
          <w:numId w:val="3"/>
        </w:numPr>
        <w:rPr>
          <w:rFonts w:cs="Tahoma"/>
          <w:szCs w:val="20"/>
          <w:lang w:val="nl-BE"/>
        </w:rPr>
      </w:pPr>
      <w:r>
        <w:rPr>
          <w:rFonts w:cs="Tahoma"/>
          <w:szCs w:val="20"/>
          <w:lang w:val="nl-BE"/>
        </w:rPr>
        <w:t>gebroken betonpuin 0/20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 xml:space="preserve">   100</w:t>
      </w:r>
      <w:r>
        <w:rPr>
          <w:rFonts w:cs="Tahoma"/>
          <w:szCs w:val="20"/>
          <w:lang w:val="nl-BE"/>
        </w:rPr>
        <w:tab/>
        <w:t>ton</w:t>
      </w:r>
    </w:p>
    <w:p w:rsidR="0086521F" w:rsidRDefault="0086521F" w:rsidP="0086521F">
      <w:pPr>
        <w:numPr>
          <w:ilvl w:val="0"/>
          <w:numId w:val="3"/>
        </w:numPr>
        <w:rPr>
          <w:rFonts w:cs="Tahoma"/>
          <w:szCs w:val="20"/>
          <w:lang w:val="nl-BE"/>
        </w:rPr>
      </w:pPr>
      <w:r>
        <w:rPr>
          <w:rFonts w:cs="Tahoma"/>
          <w:szCs w:val="20"/>
          <w:lang w:val="nl-BE"/>
        </w:rPr>
        <w:t>gebroken betonpuin (Standaardbestek 250 versie 3.1.) door het bestuur afgehaald</w:t>
      </w:r>
    </w:p>
    <w:p w:rsidR="0086521F" w:rsidRDefault="0086521F" w:rsidP="0086521F">
      <w:pPr>
        <w:numPr>
          <w:ilvl w:val="2"/>
          <w:numId w:val="3"/>
        </w:numPr>
        <w:rPr>
          <w:rFonts w:cs="Tahoma"/>
          <w:szCs w:val="20"/>
          <w:lang w:val="nl-BE"/>
        </w:rPr>
      </w:pPr>
      <w:r>
        <w:rPr>
          <w:rFonts w:cs="Tahoma"/>
          <w:szCs w:val="20"/>
          <w:lang w:val="nl-BE"/>
        </w:rPr>
        <w:t>gebroken betonpuin 0/40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2 500</w:t>
      </w:r>
      <w:r>
        <w:rPr>
          <w:rFonts w:cs="Tahoma"/>
          <w:szCs w:val="20"/>
          <w:lang w:val="nl-BE"/>
        </w:rPr>
        <w:tab/>
        <w:t>ton</w:t>
      </w:r>
    </w:p>
    <w:p w:rsidR="0086521F" w:rsidRDefault="0086521F" w:rsidP="0086521F">
      <w:pPr>
        <w:numPr>
          <w:ilvl w:val="2"/>
          <w:numId w:val="3"/>
        </w:numPr>
        <w:rPr>
          <w:rFonts w:cs="Tahoma"/>
          <w:szCs w:val="20"/>
          <w:lang w:val="nl-BE"/>
        </w:rPr>
      </w:pPr>
      <w:r>
        <w:rPr>
          <w:rFonts w:cs="Tahoma"/>
          <w:szCs w:val="20"/>
          <w:lang w:val="nl-BE"/>
        </w:rPr>
        <w:t>gebroken betonpuin 0/20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 xml:space="preserve">   250</w:t>
      </w:r>
      <w:r>
        <w:rPr>
          <w:rFonts w:cs="Tahoma"/>
          <w:szCs w:val="20"/>
          <w:lang w:val="nl-BE"/>
        </w:rPr>
        <w:tab/>
        <w:t>ton</w:t>
      </w:r>
    </w:p>
    <w:p w:rsidR="0086521F" w:rsidRDefault="0086521F" w:rsidP="0086521F">
      <w:pPr>
        <w:numPr>
          <w:ilvl w:val="0"/>
          <w:numId w:val="3"/>
        </w:numPr>
        <w:rPr>
          <w:rFonts w:cs="Tahoma"/>
          <w:szCs w:val="20"/>
          <w:lang w:val="nl-BE"/>
        </w:rPr>
      </w:pPr>
      <w:r w:rsidRPr="00DE5C99">
        <w:rPr>
          <w:rFonts w:cs="Tahoma"/>
          <w:szCs w:val="20"/>
          <w:lang w:val="nl-BE"/>
        </w:rPr>
        <w:t xml:space="preserve">gebroken mengpuin (Standaardbestek 250 versie 3.1.) </w:t>
      </w:r>
      <w:r>
        <w:rPr>
          <w:rFonts w:cs="Tahoma"/>
          <w:szCs w:val="20"/>
          <w:lang w:val="nl-BE"/>
        </w:rPr>
        <w:t>door leverancier gebracht</w:t>
      </w:r>
    </w:p>
    <w:p w:rsidR="0086521F" w:rsidRPr="00780D47" w:rsidRDefault="0086521F" w:rsidP="0086521F">
      <w:pPr>
        <w:numPr>
          <w:ilvl w:val="2"/>
          <w:numId w:val="3"/>
        </w:numPr>
        <w:rPr>
          <w:rFonts w:cs="Tahoma"/>
          <w:szCs w:val="20"/>
          <w:lang w:val="nl-BE"/>
        </w:rPr>
      </w:pPr>
      <w:r>
        <w:rPr>
          <w:rFonts w:cs="Tahoma"/>
          <w:szCs w:val="20"/>
          <w:lang w:val="nl-BE"/>
        </w:rPr>
        <w:t>gebroken mengpuin 0/40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 xml:space="preserve">   250</w:t>
      </w:r>
      <w:r>
        <w:rPr>
          <w:rFonts w:cs="Tahoma"/>
          <w:szCs w:val="20"/>
          <w:lang w:val="nl-BE"/>
        </w:rPr>
        <w:tab/>
        <w:t>ton</w:t>
      </w:r>
    </w:p>
    <w:p w:rsidR="0086521F" w:rsidRDefault="0086521F" w:rsidP="0086521F">
      <w:pPr>
        <w:numPr>
          <w:ilvl w:val="0"/>
          <w:numId w:val="3"/>
        </w:numPr>
        <w:rPr>
          <w:rFonts w:cs="Tahoma"/>
          <w:szCs w:val="20"/>
          <w:lang w:val="nl-BE"/>
        </w:rPr>
      </w:pPr>
      <w:r w:rsidRPr="00DE5C99">
        <w:rPr>
          <w:rFonts w:cs="Tahoma"/>
          <w:szCs w:val="20"/>
          <w:lang w:val="nl-BE"/>
        </w:rPr>
        <w:t xml:space="preserve">gebroken mengpuin (Standaardbestek 250 versie 3.1.) </w:t>
      </w:r>
      <w:r>
        <w:rPr>
          <w:rFonts w:cs="Tahoma"/>
          <w:szCs w:val="20"/>
          <w:lang w:val="nl-BE"/>
        </w:rPr>
        <w:t>door het bestuur afgehaald</w:t>
      </w:r>
    </w:p>
    <w:p w:rsidR="0086521F" w:rsidRPr="00780D47" w:rsidRDefault="0086521F" w:rsidP="0086521F">
      <w:pPr>
        <w:numPr>
          <w:ilvl w:val="2"/>
          <w:numId w:val="3"/>
        </w:numPr>
        <w:rPr>
          <w:rFonts w:cs="Tahoma"/>
          <w:szCs w:val="20"/>
          <w:lang w:val="nl-BE"/>
        </w:rPr>
      </w:pPr>
      <w:r>
        <w:rPr>
          <w:rFonts w:cs="Tahoma"/>
          <w:szCs w:val="20"/>
          <w:lang w:val="nl-BE"/>
        </w:rPr>
        <w:t>gebroken mengpuin 0/40 (continu)</w:t>
      </w:r>
      <w:r>
        <w:rPr>
          <w:rFonts w:cs="Tahoma"/>
          <w:szCs w:val="20"/>
          <w:lang w:val="nl-BE"/>
        </w:rPr>
        <w:tab/>
      </w:r>
      <w:r>
        <w:rPr>
          <w:rFonts w:cs="Tahoma"/>
          <w:szCs w:val="20"/>
          <w:lang w:val="nl-BE"/>
        </w:rPr>
        <w:tab/>
      </w:r>
      <w:r>
        <w:rPr>
          <w:rFonts w:cs="Tahoma"/>
          <w:szCs w:val="20"/>
          <w:lang w:val="nl-BE"/>
        </w:rPr>
        <w:tab/>
        <w:t>VH</w:t>
      </w:r>
      <w:r>
        <w:rPr>
          <w:rFonts w:cs="Tahoma"/>
          <w:szCs w:val="20"/>
          <w:lang w:val="nl-BE"/>
        </w:rPr>
        <w:tab/>
        <w:t xml:space="preserve">   750</w:t>
      </w:r>
      <w:r>
        <w:rPr>
          <w:rFonts w:cs="Tahoma"/>
          <w:szCs w:val="20"/>
          <w:lang w:val="nl-BE"/>
        </w:rPr>
        <w:tab/>
        <w:t>ton</w:t>
      </w:r>
    </w:p>
    <w:p w:rsidR="0086521F" w:rsidRDefault="0086521F" w:rsidP="0086521F">
      <w:pPr>
        <w:ind w:left="360" w:firstLine="349"/>
        <w:rPr>
          <w:rFonts w:cs="Tahoma"/>
          <w:szCs w:val="20"/>
          <w:lang w:val="nl-BE"/>
        </w:rPr>
      </w:pPr>
    </w:p>
    <w:p w:rsidR="0086521F" w:rsidRDefault="0086521F" w:rsidP="0086521F">
      <w:pPr>
        <w:ind w:left="360" w:firstLine="349"/>
        <w:rPr>
          <w:rFonts w:cs="Tahoma"/>
          <w:szCs w:val="20"/>
          <w:lang w:val="nl-BE"/>
        </w:rPr>
      </w:pPr>
    </w:p>
    <w:p w:rsidR="0086521F" w:rsidRDefault="0086521F" w:rsidP="0086521F">
      <w:pPr>
        <w:rPr>
          <w:lang w:val="nl-BE"/>
        </w:rPr>
        <w:sectPr w:rsidR="0086521F" w:rsidSect="000774DD">
          <w:pgSz w:w="11906" w:h="16838" w:code="9"/>
          <w:pgMar w:top="1418" w:right="1418" w:bottom="1418" w:left="1418" w:header="851" w:footer="851" w:gutter="0"/>
          <w:cols w:space="720"/>
          <w:docGrid w:linePitch="360"/>
        </w:sectPr>
      </w:pP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2403BE3"/>
    <w:multiLevelType w:val="hybridMultilevel"/>
    <w:tmpl w:val="2834C04E"/>
    <w:lvl w:ilvl="0" w:tplc="FFFFFFFF">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2403BE4"/>
    <w:multiLevelType w:val="hybridMultilevel"/>
    <w:tmpl w:val="89F03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1F"/>
    <w:rsid w:val="00185929"/>
    <w:rsid w:val="001A4ECC"/>
    <w:rsid w:val="0020613D"/>
    <w:rsid w:val="002E3A91"/>
    <w:rsid w:val="004C787C"/>
    <w:rsid w:val="008652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521F"/>
    <w:rPr>
      <w:rFonts w:ascii="ZapfCalligr BT" w:hAnsi="ZapfCalligr BT"/>
      <w:sz w:val="21"/>
      <w:szCs w:val="24"/>
      <w:lang w:val="en-GB" w:eastAsia="en-US"/>
    </w:rPr>
  </w:style>
  <w:style w:type="paragraph" w:styleId="Kop1">
    <w:name w:val="heading 1"/>
    <w:basedOn w:val="Standaard"/>
    <w:next w:val="Standaard"/>
    <w:link w:val="Kop1Char"/>
    <w:qFormat/>
    <w:rsid w:val="0086521F"/>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86521F"/>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86521F"/>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86521F"/>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86521F"/>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86521F"/>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86521F"/>
    <w:rPr>
      <w:rFonts w:ascii="ZapfCalligr BT" w:hAnsi="ZapfCalligr BT"/>
      <w:b/>
      <w:color w:val="000080"/>
      <w:sz w:val="24"/>
      <w:lang w:eastAsia="en-US"/>
    </w:rPr>
  </w:style>
  <w:style w:type="character" w:customStyle="1" w:styleId="Kop4Char">
    <w:name w:val="Kop 4 Char"/>
    <w:basedOn w:val="Standaardalinea-lettertype"/>
    <w:link w:val="Kop4"/>
    <w:rsid w:val="0086521F"/>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521F"/>
    <w:rPr>
      <w:rFonts w:ascii="ZapfCalligr BT" w:hAnsi="ZapfCalligr BT"/>
      <w:sz w:val="21"/>
      <w:szCs w:val="24"/>
      <w:lang w:val="en-GB" w:eastAsia="en-US"/>
    </w:rPr>
  </w:style>
  <w:style w:type="paragraph" w:styleId="Kop1">
    <w:name w:val="heading 1"/>
    <w:basedOn w:val="Standaard"/>
    <w:next w:val="Standaard"/>
    <w:link w:val="Kop1Char"/>
    <w:qFormat/>
    <w:rsid w:val="0086521F"/>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86521F"/>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86521F"/>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86521F"/>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86521F"/>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86521F"/>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86521F"/>
    <w:rPr>
      <w:rFonts w:ascii="ZapfCalligr BT" w:hAnsi="ZapfCalligr BT"/>
      <w:b/>
      <w:color w:val="000080"/>
      <w:sz w:val="24"/>
      <w:lang w:eastAsia="en-US"/>
    </w:rPr>
  </w:style>
  <w:style w:type="character" w:customStyle="1" w:styleId="Kop4Char">
    <w:name w:val="Kop 4 Char"/>
    <w:basedOn w:val="Standaardalinea-lettertype"/>
    <w:link w:val="Kop4"/>
    <w:rsid w:val="0086521F"/>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2019-04-05T07:07:00Z</dcterms:created>
  <dcterms:modified xsi:type="dcterms:W3CDTF">2019-04-05T07:07:00Z</dcterms:modified>
</cp:coreProperties>
</file>